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9C6D0">
      <w:pPr>
        <w:pStyle w:val="6"/>
        <w:spacing w:line="243" w:lineRule="auto"/>
      </w:pPr>
    </w:p>
    <w:p w14:paraId="7D0ECB43">
      <w:pPr>
        <w:pStyle w:val="6"/>
        <w:spacing w:line="243" w:lineRule="auto"/>
      </w:pPr>
    </w:p>
    <w:p w14:paraId="7D21BF06">
      <w:pPr>
        <w:pStyle w:val="6"/>
        <w:spacing w:line="243" w:lineRule="auto"/>
      </w:pPr>
    </w:p>
    <w:p w14:paraId="6EEF0FF7">
      <w:pPr>
        <w:pStyle w:val="6"/>
        <w:spacing w:line="243" w:lineRule="auto"/>
      </w:pPr>
    </w:p>
    <w:p w14:paraId="026AEDE2">
      <w:pPr>
        <w:pStyle w:val="6"/>
        <w:spacing w:line="243" w:lineRule="auto"/>
      </w:pPr>
    </w:p>
    <w:p w14:paraId="2ABF397E">
      <w:pPr>
        <w:pStyle w:val="6"/>
        <w:spacing w:line="243" w:lineRule="auto"/>
        <w:ind w:left="0" w:leftChars="0" w:firstLine="0" w:firstLineChars="0"/>
      </w:pPr>
    </w:p>
    <w:p w14:paraId="4D72B37D">
      <w:pPr>
        <w:pStyle w:val="6"/>
        <w:spacing w:line="243" w:lineRule="auto"/>
      </w:pPr>
    </w:p>
    <w:p w14:paraId="39F01186">
      <w:pPr>
        <w:pStyle w:val="6"/>
        <w:spacing w:line="244" w:lineRule="auto"/>
      </w:pPr>
    </w:p>
    <w:p w14:paraId="5CC496D7">
      <w:pPr>
        <w:pStyle w:val="6"/>
        <w:spacing w:line="244" w:lineRule="auto"/>
      </w:pPr>
    </w:p>
    <w:p w14:paraId="06329E13">
      <w:pPr>
        <w:keepNext w:val="0"/>
        <w:keepLines w:val="0"/>
        <w:pageBreakBefore w:val="0"/>
        <w:widowControl/>
        <w:kinsoku w:val="0"/>
        <w:wordWrap/>
        <w:overflowPunct/>
        <w:topLinePunct w:val="0"/>
        <w:autoSpaceDE w:val="0"/>
        <w:autoSpaceDN w:val="0"/>
        <w:bidi w:val="0"/>
        <w:adjustRightInd w:val="0"/>
        <w:snapToGrid w:val="0"/>
        <w:spacing w:before="223" w:line="272" w:lineRule="auto"/>
        <w:ind w:left="0" w:right="0" w:firstLine="0" w:firstLineChars="0"/>
        <w:jc w:val="center"/>
        <w:textAlignment w:val="baseline"/>
        <w:rPr>
          <w:rFonts w:hint="eastAsia" w:ascii="宋体" w:hAnsi="宋体" w:eastAsia="宋体" w:cs="宋体"/>
          <w:b/>
          <w:bCs/>
          <w:spacing w:val="-7"/>
          <w:sz w:val="48"/>
          <w:szCs w:val="48"/>
        </w:rPr>
      </w:pPr>
      <w:r>
        <w:rPr>
          <w:rFonts w:hint="eastAsia" w:ascii="宋体" w:hAnsi="宋体" w:eastAsia="宋体" w:cs="宋体"/>
          <w:b/>
          <w:bCs/>
          <w:spacing w:val="-7"/>
          <w:sz w:val="48"/>
          <w:szCs w:val="48"/>
        </w:rPr>
        <w:t>中国地理学会团体标准</w:t>
      </w:r>
    </w:p>
    <w:p w14:paraId="7B30A408">
      <w:pPr>
        <w:keepNext w:val="0"/>
        <w:keepLines w:val="0"/>
        <w:pageBreakBefore w:val="0"/>
        <w:widowControl/>
        <w:kinsoku w:val="0"/>
        <w:wordWrap/>
        <w:overflowPunct/>
        <w:topLinePunct w:val="0"/>
        <w:autoSpaceDE w:val="0"/>
        <w:autoSpaceDN w:val="0"/>
        <w:bidi w:val="0"/>
        <w:adjustRightInd w:val="0"/>
        <w:snapToGrid w:val="0"/>
        <w:spacing w:before="223" w:line="272" w:lineRule="auto"/>
        <w:ind w:left="0" w:right="0" w:firstLine="0" w:firstLineChars="0"/>
        <w:jc w:val="center"/>
        <w:textAlignment w:val="baseline"/>
        <w:rPr>
          <w:rFonts w:hint="eastAsia" w:ascii="宋体" w:hAnsi="宋体" w:eastAsia="宋体" w:cs="宋体"/>
          <w:b/>
          <w:bCs/>
          <w:spacing w:val="3"/>
          <w:sz w:val="48"/>
          <w:szCs w:val="48"/>
        </w:rPr>
      </w:pPr>
      <w:r>
        <w:rPr>
          <w:rFonts w:hint="eastAsia" w:ascii="宋体" w:hAnsi="宋体" w:eastAsia="宋体" w:cs="宋体"/>
          <w:b/>
          <w:bCs/>
          <w:spacing w:val="3"/>
          <w:sz w:val="48"/>
          <w:szCs w:val="48"/>
        </w:rPr>
        <w:t>《地标生境 吉林磐石千塘稻永久基本农田案例》</w:t>
      </w:r>
    </w:p>
    <w:p w14:paraId="506CE3D7">
      <w:pPr>
        <w:keepNext w:val="0"/>
        <w:keepLines w:val="0"/>
        <w:pageBreakBefore w:val="0"/>
        <w:widowControl/>
        <w:kinsoku w:val="0"/>
        <w:wordWrap/>
        <w:overflowPunct/>
        <w:topLinePunct w:val="0"/>
        <w:autoSpaceDE w:val="0"/>
        <w:autoSpaceDN w:val="0"/>
        <w:bidi w:val="0"/>
        <w:adjustRightInd w:val="0"/>
        <w:snapToGrid w:val="0"/>
        <w:spacing w:before="223" w:line="272" w:lineRule="auto"/>
        <w:ind w:left="0" w:right="0" w:firstLine="0" w:firstLineChars="0"/>
        <w:jc w:val="center"/>
        <w:textAlignment w:val="baseline"/>
        <w:rPr>
          <w:rFonts w:hint="eastAsia" w:ascii="宋体" w:hAnsi="宋体" w:eastAsia="宋体" w:cs="宋体"/>
          <w:b/>
          <w:bCs/>
          <w:spacing w:val="-21"/>
          <w:sz w:val="44"/>
          <w:szCs w:val="44"/>
        </w:rPr>
      </w:pPr>
      <w:r>
        <w:rPr>
          <w:rFonts w:hint="eastAsia" w:ascii="宋体" w:hAnsi="宋体" w:eastAsia="宋体" w:cs="宋体"/>
          <w:b/>
          <w:bCs/>
          <w:spacing w:val="-21"/>
          <w:sz w:val="44"/>
          <w:szCs w:val="44"/>
        </w:rPr>
        <w:t>（征求意见稿）</w:t>
      </w:r>
    </w:p>
    <w:p w14:paraId="33792461">
      <w:pPr>
        <w:keepNext w:val="0"/>
        <w:keepLines w:val="0"/>
        <w:pageBreakBefore w:val="0"/>
        <w:widowControl/>
        <w:kinsoku w:val="0"/>
        <w:wordWrap/>
        <w:overflowPunct/>
        <w:topLinePunct w:val="0"/>
        <w:autoSpaceDE w:val="0"/>
        <w:autoSpaceDN w:val="0"/>
        <w:bidi w:val="0"/>
        <w:adjustRightInd w:val="0"/>
        <w:snapToGrid w:val="0"/>
        <w:spacing w:before="223" w:line="272" w:lineRule="auto"/>
        <w:ind w:left="0" w:right="0" w:firstLine="0" w:firstLineChars="0"/>
        <w:jc w:val="center"/>
        <w:textAlignment w:val="baseline"/>
        <w:rPr>
          <w:rFonts w:ascii="微软雅黑" w:hAnsi="微软雅黑" w:eastAsia="微软雅黑" w:cs="微软雅黑"/>
          <w:sz w:val="52"/>
          <w:szCs w:val="52"/>
        </w:rPr>
      </w:pPr>
      <w:r>
        <w:rPr>
          <w:rFonts w:hint="eastAsia" w:ascii="宋体" w:hAnsi="宋体" w:eastAsia="宋体" w:cs="宋体"/>
          <w:b/>
          <w:bCs/>
          <w:spacing w:val="-6"/>
          <w:sz w:val="48"/>
          <w:szCs w:val="48"/>
        </w:rPr>
        <w:t>编制说明</w:t>
      </w:r>
    </w:p>
    <w:p w14:paraId="67E11B1E">
      <w:pPr>
        <w:pStyle w:val="6"/>
        <w:spacing w:line="242" w:lineRule="auto"/>
      </w:pPr>
    </w:p>
    <w:p w14:paraId="26D9EC63">
      <w:pPr>
        <w:pStyle w:val="6"/>
        <w:spacing w:line="242" w:lineRule="auto"/>
      </w:pPr>
    </w:p>
    <w:p w14:paraId="6BA19FA0">
      <w:pPr>
        <w:pStyle w:val="6"/>
        <w:spacing w:line="242" w:lineRule="auto"/>
      </w:pPr>
    </w:p>
    <w:p w14:paraId="45CF7527">
      <w:pPr>
        <w:pStyle w:val="6"/>
        <w:spacing w:line="243" w:lineRule="auto"/>
      </w:pPr>
    </w:p>
    <w:p w14:paraId="404DDCBF">
      <w:pPr>
        <w:pStyle w:val="6"/>
        <w:spacing w:line="243" w:lineRule="auto"/>
      </w:pPr>
    </w:p>
    <w:p w14:paraId="598BBDED">
      <w:pPr>
        <w:pStyle w:val="6"/>
        <w:spacing w:line="243" w:lineRule="auto"/>
      </w:pPr>
    </w:p>
    <w:p w14:paraId="2D578674">
      <w:pPr>
        <w:pStyle w:val="6"/>
        <w:spacing w:line="243" w:lineRule="auto"/>
      </w:pPr>
    </w:p>
    <w:p w14:paraId="1EBA62C8">
      <w:pPr>
        <w:pStyle w:val="6"/>
        <w:spacing w:line="243" w:lineRule="auto"/>
      </w:pPr>
    </w:p>
    <w:p w14:paraId="2F429D69">
      <w:pPr>
        <w:pStyle w:val="6"/>
        <w:spacing w:line="243" w:lineRule="auto"/>
      </w:pPr>
    </w:p>
    <w:p w14:paraId="32D49F1E">
      <w:pPr>
        <w:pStyle w:val="6"/>
        <w:spacing w:line="243" w:lineRule="auto"/>
      </w:pPr>
    </w:p>
    <w:p w14:paraId="6E8C01C8">
      <w:pPr>
        <w:pStyle w:val="6"/>
        <w:spacing w:line="243" w:lineRule="auto"/>
      </w:pPr>
    </w:p>
    <w:p w14:paraId="71C85E93">
      <w:pPr>
        <w:pStyle w:val="6"/>
        <w:spacing w:line="243" w:lineRule="auto"/>
      </w:pPr>
    </w:p>
    <w:p w14:paraId="3316EBF9">
      <w:pPr>
        <w:pStyle w:val="6"/>
        <w:spacing w:line="243" w:lineRule="auto"/>
      </w:pPr>
    </w:p>
    <w:p w14:paraId="7A7B53FB">
      <w:pPr>
        <w:pStyle w:val="6"/>
        <w:spacing w:line="243" w:lineRule="auto"/>
      </w:pPr>
    </w:p>
    <w:p w14:paraId="3895CFA7">
      <w:pPr>
        <w:pStyle w:val="6"/>
        <w:spacing w:line="243" w:lineRule="auto"/>
      </w:pPr>
    </w:p>
    <w:p w14:paraId="5E74EAE3">
      <w:pPr>
        <w:pStyle w:val="6"/>
        <w:spacing w:line="243" w:lineRule="auto"/>
      </w:pPr>
    </w:p>
    <w:p w14:paraId="39E9BEDC">
      <w:pPr>
        <w:keepNext w:val="0"/>
        <w:keepLines w:val="0"/>
        <w:pageBreakBefore w:val="0"/>
        <w:widowControl/>
        <w:kinsoku w:val="0"/>
        <w:wordWrap/>
        <w:overflowPunct/>
        <w:topLinePunct w:val="0"/>
        <w:autoSpaceDE w:val="0"/>
        <w:autoSpaceDN w:val="0"/>
        <w:bidi w:val="0"/>
        <w:adjustRightInd w:val="0"/>
        <w:snapToGrid w:val="0"/>
        <w:spacing w:before="129" w:line="181" w:lineRule="auto"/>
        <w:jc w:val="center"/>
        <w:textAlignment w:val="baseline"/>
        <w:rPr>
          <w:rFonts w:hint="eastAsia" w:ascii="宋体" w:hAnsi="宋体" w:eastAsia="宋体" w:cs="宋体"/>
          <w:sz w:val="30"/>
          <w:szCs w:val="30"/>
          <w:lang w:val="en-US" w:eastAsia="zh-CN"/>
        </w:rPr>
      </w:pPr>
      <w:r>
        <w:rPr>
          <w:rFonts w:hint="eastAsia" w:ascii="宋体" w:hAnsi="宋体" w:eastAsia="宋体" w:cs="宋体"/>
          <w:b/>
          <w:bCs/>
          <w:spacing w:val="-4"/>
          <w:sz w:val="30"/>
          <w:szCs w:val="30"/>
        </w:rPr>
        <w:t>中国科学院</w:t>
      </w:r>
      <w:r>
        <w:rPr>
          <w:rFonts w:hint="eastAsia" w:ascii="宋体" w:hAnsi="宋体" w:eastAsia="宋体" w:cs="宋体"/>
          <w:b/>
          <w:bCs/>
          <w:spacing w:val="-4"/>
          <w:sz w:val="30"/>
          <w:szCs w:val="30"/>
          <w:lang w:val="en-US" w:eastAsia="zh-CN"/>
        </w:rPr>
        <w:t>地理科学与资源研究所</w:t>
      </w:r>
    </w:p>
    <w:p w14:paraId="25917DC5">
      <w:pPr>
        <w:pStyle w:val="6"/>
        <w:keepNext w:val="0"/>
        <w:keepLines w:val="0"/>
        <w:pageBreakBefore w:val="0"/>
        <w:widowControl/>
        <w:kinsoku w:val="0"/>
        <w:wordWrap/>
        <w:overflowPunct/>
        <w:topLinePunct w:val="0"/>
        <w:autoSpaceDE w:val="0"/>
        <w:autoSpaceDN w:val="0"/>
        <w:bidi w:val="0"/>
        <w:adjustRightInd w:val="0"/>
        <w:snapToGrid w:val="0"/>
        <w:spacing w:line="248" w:lineRule="auto"/>
        <w:ind w:firstLine="0" w:firstLineChars="0"/>
        <w:jc w:val="center"/>
        <w:textAlignment w:val="baseline"/>
        <w:rPr>
          <w:rFonts w:hint="eastAsia" w:ascii="宋体" w:hAnsi="宋体" w:eastAsia="宋体" w:cs="宋体"/>
        </w:rPr>
      </w:pPr>
    </w:p>
    <w:p w14:paraId="71F450BF">
      <w:pPr>
        <w:pStyle w:val="6"/>
        <w:keepNext w:val="0"/>
        <w:keepLines w:val="0"/>
        <w:pageBreakBefore w:val="0"/>
        <w:widowControl/>
        <w:kinsoku w:val="0"/>
        <w:wordWrap/>
        <w:overflowPunct/>
        <w:topLinePunct w:val="0"/>
        <w:autoSpaceDE w:val="0"/>
        <w:autoSpaceDN w:val="0"/>
        <w:bidi w:val="0"/>
        <w:adjustRightInd w:val="0"/>
        <w:snapToGrid w:val="0"/>
        <w:spacing w:line="248" w:lineRule="auto"/>
        <w:ind w:firstLine="0" w:firstLineChars="0"/>
        <w:jc w:val="center"/>
        <w:textAlignment w:val="baseline"/>
        <w:rPr>
          <w:rFonts w:hint="default" w:ascii="Times New Roman" w:hAnsi="Times New Roman" w:eastAsia="宋体" w:cs="Times New Roman"/>
        </w:rPr>
      </w:pPr>
    </w:p>
    <w:p w14:paraId="76BD5A3F">
      <w:pPr>
        <w:keepNext w:val="0"/>
        <w:keepLines w:val="0"/>
        <w:pageBreakBefore w:val="0"/>
        <w:widowControl/>
        <w:kinsoku w:val="0"/>
        <w:wordWrap/>
        <w:overflowPunct/>
        <w:topLinePunct w:val="0"/>
        <w:autoSpaceDE w:val="0"/>
        <w:autoSpaceDN w:val="0"/>
        <w:bidi w:val="0"/>
        <w:adjustRightInd w:val="0"/>
        <w:snapToGrid w:val="0"/>
        <w:spacing w:before="86" w:line="188" w:lineRule="auto"/>
        <w:jc w:val="center"/>
        <w:textAlignment w:val="baseline"/>
        <w:rPr>
          <w:rFonts w:hint="default" w:ascii="Times New Roman" w:hAnsi="Times New Roman" w:eastAsia="宋体" w:cs="Times New Roman"/>
          <w:sz w:val="30"/>
          <w:szCs w:val="30"/>
          <w:lang w:eastAsia="zh-CN"/>
        </w:rPr>
      </w:pPr>
      <w:r>
        <w:rPr>
          <w:rFonts w:hint="default" w:ascii="Times New Roman" w:hAnsi="Times New Roman" w:eastAsia="宋体" w:cs="Times New Roman"/>
          <w:b/>
          <w:bCs/>
          <w:spacing w:val="-8"/>
          <w:sz w:val="30"/>
          <w:szCs w:val="30"/>
        </w:rPr>
        <w:t>2026-0</w:t>
      </w:r>
      <w:r>
        <w:rPr>
          <w:rFonts w:hint="default" w:ascii="Times New Roman" w:hAnsi="Times New Roman" w:eastAsia="宋体" w:cs="Times New Roman"/>
          <w:b/>
          <w:bCs/>
          <w:spacing w:val="-8"/>
          <w:sz w:val="30"/>
          <w:szCs w:val="30"/>
          <w:lang w:val="en-US" w:eastAsia="zh-CN"/>
        </w:rPr>
        <w:t>7</w:t>
      </w:r>
    </w:p>
    <w:p w14:paraId="2C064B42">
      <w:pPr>
        <w:spacing w:line="188" w:lineRule="auto"/>
        <w:rPr>
          <w:rFonts w:hint="default" w:ascii="Times New Roman" w:hAnsi="Times New Roman" w:eastAsia="Times New Roman" w:cs="Times New Roman"/>
          <w:sz w:val="30"/>
          <w:szCs w:val="30"/>
        </w:rPr>
        <w:sectPr>
          <w:pgSz w:w="11906" w:h="16839"/>
          <w:pgMar w:top="1431" w:right="1785" w:bottom="0" w:left="1785" w:header="0" w:footer="0" w:gutter="0"/>
          <w:cols w:space="720" w:num="1"/>
        </w:sectPr>
      </w:pPr>
    </w:p>
    <w:sdt>
      <w:sdtPr>
        <w:rPr>
          <w:rFonts w:ascii="宋体" w:hAnsi="宋体" w:eastAsia="宋体" w:cs="Arial"/>
          <w:snapToGrid w:val="0"/>
          <w:color w:val="000000"/>
          <w:kern w:val="0"/>
          <w:sz w:val="21"/>
          <w:szCs w:val="21"/>
          <w:lang w:val="en-US" w:eastAsia="en-US" w:bidi="ar-SA"/>
        </w:rPr>
        <w:id w:val="147482829"/>
        <w15:color w:val="DBDBDB"/>
        <w:docPartObj>
          <w:docPartGallery w:val="Table of Contents"/>
          <w:docPartUnique/>
        </w:docPartObj>
      </w:sdtPr>
      <w:sdtEndPr>
        <w:rPr>
          <w:rFonts w:ascii="Times New Roman" w:hAnsi="Times New Roman" w:eastAsia="宋体" w:cs="Arial"/>
          <w:snapToGrid w:val="0"/>
          <w:color w:val="000000"/>
          <w:kern w:val="0"/>
          <w:sz w:val="24"/>
          <w:szCs w:val="21"/>
          <w:lang w:val="en-US" w:eastAsia="en-US" w:bidi="ar-SA"/>
        </w:rPr>
      </w:sdtEndPr>
      <w:sdtContent>
        <w:p w14:paraId="7E4E37CC">
          <w:pPr>
            <w:spacing w:before="0" w:beforeLines="0" w:after="0" w:afterLines="0" w:line="240" w:lineRule="auto"/>
            <w:ind w:left="0" w:leftChars="0" w:right="0" w:rightChars="0" w:firstLine="0" w:firstLineChars="0"/>
            <w:jc w:val="center"/>
          </w:pPr>
          <w:r>
            <w:rPr>
              <w:rFonts w:ascii="宋体" w:hAnsi="宋体" w:eastAsia="宋体"/>
              <w:sz w:val="21"/>
            </w:rPr>
            <w:t>目录</w:t>
          </w:r>
        </w:p>
        <w:p w14:paraId="76437305">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sz w:val="22"/>
              <w:szCs w:val="20"/>
            </w:rPr>
            <w:fldChar w:fldCharType="begin"/>
          </w:r>
          <w:r>
            <w:rPr>
              <w:sz w:val="22"/>
              <w:szCs w:val="20"/>
            </w:rPr>
            <w:instrText xml:space="preserve">TOC \o "1-4" \h \u </w:instrText>
          </w:r>
          <w:r>
            <w:rPr>
              <w:sz w:val="22"/>
              <w:szCs w:val="20"/>
            </w:rPr>
            <w:fldChar w:fldCharType="separate"/>
          </w:r>
          <w:r>
            <w:rPr>
              <w:b/>
              <w:bCs/>
              <w:sz w:val="22"/>
              <w:szCs w:val="20"/>
            </w:rPr>
            <w:fldChar w:fldCharType="begin"/>
          </w:r>
          <w:r>
            <w:rPr>
              <w:b/>
              <w:bCs/>
              <w:sz w:val="22"/>
              <w:szCs w:val="20"/>
            </w:rPr>
            <w:instrText xml:space="preserve"> HYPERLINK \l _Toc21963 </w:instrText>
          </w:r>
          <w:r>
            <w:rPr>
              <w:b/>
              <w:bCs/>
              <w:sz w:val="22"/>
              <w:szCs w:val="20"/>
            </w:rPr>
            <w:fldChar w:fldCharType="separate"/>
          </w:r>
          <w:r>
            <w:rPr>
              <w:rFonts w:hint="eastAsia"/>
              <w:b/>
              <w:bCs/>
              <w:sz w:val="22"/>
              <w:szCs w:val="20"/>
            </w:rPr>
            <w:t>一</w:t>
          </w:r>
          <w:r>
            <w:rPr>
              <w:rFonts w:hint="eastAsia"/>
              <w:b/>
              <w:bCs/>
              <w:sz w:val="22"/>
              <w:szCs w:val="20"/>
              <w:lang w:eastAsia="zh-CN"/>
            </w:rPr>
            <w:t>、</w:t>
          </w:r>
          <w:r>
            <w:rPr>
              <w:rFonts w:hint="eastAsia"/>
              <w:b/>
              <w:bCs/>
              <w:sz w:val="22"/>
              <w:szCs w:val="20"/>
            </w:rPr>
            <w:t>工作简况</w:t>
          </w:r>
          <w:r>
            <w:rPr>
              <w:b/>
              <w:bCs/>
              <w:sz w:val="22"/>
              <w:szCs w:val="20"/>
            </w:rPr>
            <w:tab/>
          </w:r>
          <w:r>
            <w:rPr>
              <w:b/>
              <w:bCs/>
              <w:sz w:val="22"/>
              <w:szCs w:val="20"/>
            </w:rPr>
            <w:fldChar w:fldCharType="begin"/>
          </w:r>
          <w:r>
            <w:rPr>
              <w:b/>
              <w:bCs/>
              <w:sz w:val="22"/>
              <w:szCs w:val="20"/>
            </w:rPr>
            <w:instrText xml:space="preserve"> PAGEREF _Toc21963 \h </w:instrText>
          </w:r>
          <w:r>
            <w:rPr>
              <w:b/>
              <w:bCs/>
              <w:sz w:val="22"/>
              <w:szCs w:val="20"/>
            </w:rPr>
            <w:fldChar w:fldCharType="separate"/>
          </w:r>
          <w:r>
            <w:rPr>
              <w:b/>
              <w:bCs/>
              <w:sz w:val="22"/>
              <w:szCs w:val="20"/>
            </w:rPr>
            <w:t>3</w:t>
          </w:r>
          <w:r>
            <w:rPr>
              <w:b/>
              <w:bCs/>
              <w:sz w:val="22"/>
              <w:szCs w:val="20"/>
            </w:rPr>
            <w:fldChar w:fldCharType="end"/>
          </w:r>
          <w:r>
            <w:rPr>
              <w:b/>
              <w:bCs/>
              <w:sz w:val="22"/>
              <w:szCs w:val="20"/>
            </w:rPr>
            <w:fldChar w:fldCharType="end"/>
          </w:r>
        </w:p>
        <w:p w14:paraId="30E497DA">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442" w:firstLineChars="200"/>
            <w:textAlignment w:val="baseline"/>
            <w:rPr>
              <w:b/>
              <w:bCs/>
              <w:sz w:val="22"/>
              <w:szCs w:val="20"/>
            </w:rPr>
          </w:pPr>
          <w:r>
            <w:rPr>
              <w:b/>
              <w:bCs/>
              <w:sz w:val="22"/>
              <w:szCs w:val="20"/>
            </w:rPr>
            <w:fldChar w:fldCharType="begin"/>
          </w:r>
          <w:r>
            <w:rPr>
              <w:b/>
              <w:bCs/>
              <w:sz w:val="22"/>
              <w:szCs w:val="20"/>
            </w:rPr>
            <w:instrText xml:space="preserve"> HYPERLINK \l _Toc7304 </w:instrText>
          </w:r>
          <w:r>
            <w:rPr>
              <w:b/>
              <w:bCs/>
              <w:sz w:val="22"/>
              <w:szCs w:val="20"/>
            </w:rPr>
            <w:fldChar w:fldCharType="separate"/>
          </w:r>
          <w:r>
            <w:rPr>
              <w:rFonts w:hint="eastAsia"/>
              <w:b/>
              <w:bCs/>
              <w:sz w:val="22"/>
              <w:szCs w:val="20"/>
            </w:rPr>
            <w:t>（一）任务来源</w:t>
          </w:r>
          <w:r>
            <w:rPr>
              <w:b/>
              <w:bCs/>
              <w:sz w:val="22"/>
              <w:szCs w:val="20"/>
            </w:rPr>
            <w:tab/>
          </w:r>
          <w:r>
            <w:rPr>
              <w:b/>
              <w:bCs/>
              <w:sz w:val="22"/>
              <w:szCs w:val="20"/>
            </w:rPr>
            <w:fldChar w:fldCharType="begin"/>
          </w:r>
          <w:r>
            <w:rPr>
              <w:b/>
              <w:bCs/>
              <w:sz w:val="22"/>
              <w:szCs w:val="20"/>
            </w:rPr>
            <w:instrText xml:space="preserve"> PAGEREF _Toc7304 \h </w:instrText>
          </w:r>
          <w:r>
            <w:rPr>
              <w:b/>
              <w:bCs/>
              <w:sz w:val="22"/>
              <w:szCs w:val="20"/>
            </w:rPr>
            <w:fldChar w:fldCharType="separate"/>
          </w:r>
          <w:r>
            <w:rPr>
              <w:b/>
              <w:bCs/>
              <w:sz w:val="22"/>
              <w:szCs w:val="20"/>
            </w:rPr>
            <w:t>3</w:t>
          </w:r>
          <w:r>
            <w:rPr>
              <w:b/>
              <w:bCs/>
              <w:sz w:val="22"/>
              <w:szCs w:val="20"/>
            </w:rPr>
            <w:fldChar w:fldCharType="end"/>
          </w:r>
          <w:r>
            <w:rPr>
              <w:b/>
              <w:bCs/>
              <w:sz w:val="22"/>
              <w:szCs w:val="20"/>
            </w:rPr>
            <w:fldChar w:fldCharType="end"/>
          </w:r>
        </w:p>
        <w:p w14:paraId="5555CE68">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442" w:firstLineChars="200"/>
            <w:textAlignment w:val="baseline"/>
            <w:rPr>
              <w:b/>
              <w:bCs/>
              <w:sz w:val="22"/>
              <w:szCs w:val="20"/>
            </w:rPr>
          </w:pPr>
          <w:r>
            <w:rPr>
              <w:b/>
              <w:bCs/>
              <w:sz w:val="22"/>
              <w:szCs w:val="20"/>
            </w:rPr>
            <w:fldChar w:fldCharType="begin"/>
          </w:r>
          <w:r>
            <w:rPr>
              <w:b/>
              <w:bCs/>
              <w:sz w:val="22"/>
              <w:szCs w:val="20"/>
            </w:rPr>
            <w:instrText xml:space="preserve"> HYPERLINK \l _Toc1269 </w:instrText>
          </w:r>
          <w:r>
            <w:rPr>
              <w:b/>
              <w:bCs/>
              <w:sz w:val="22"/>
              <w:szCs w:val="20"/>
            </w:rPr>
            <w:fldChar w:fldCharType="separate"/>
          </w:r>
          <w:r>
            <w:rPr>
              <w:rFonts w:hint="eastAsia"/>
              <w:b/>
              <w:bCs/>
              <w:sz w:val="22"/>
              <w:szCs w:val="20"/>
            </w:rPr>
            <w:t>（二）经费说明</w:t>
          </w:r>
          <w:r>
            <w:rPr>
              <w:b/>
              <w:bCs/>
              <w:sz w:val="22"/>
              <w:szCs w:val="20"/>
            </w:rPr>
            <w:tab/>
          </w:r>
          <w:r>
            <w:rPr>
              <w:b/>
              <w:bCs/>
              <w:sz w:val="22"/>
              <w:szCs w:val="20"/>
            </w:rPr>
            <w:fldChar w:fldCharType="begin"/>
          </w:r>
          <w:r>
            <w:rPr>
              <w:b/>
              <w:bCs/>
              <w:sz w:val="22"/>
              <w:szCs w:val="20"/>
            </w:rPr>
            <w:instrText xml:space="preserve"> PAGEREF _Toc1269 \h </w:instrText>
          </w:r>
          <w:r>
            <w:rPr>
              <w:b/>
              <w:bCs/>
              <w:sz w:val="22"/>
              <w:szCs w:val="20"/>
            </w:rPr>
            <w:fldChar w:fldCharType="separate"/>
          </w:r>
          <w:r>
            <w:rPr>
              <w:b/>
              <w:bCs/>
              <w:sz w:val="22"/>
              <w:szCs w:val="20"/>
            </w:rPr>
            <w:t>3</w:t>
          </w:r>
          <w:r>
            <w:rPr>
              <w:b/>
              <w:bCs/>
              <w:sz w:val="22"/>
              <w:szCs w:val="20"/>
            </w:rPr>
            <w:fldChar w:fldCharType="end"/>
          </w:r>
          <w:r>
            <w:rPr>
              <w:b/>
              <w:bCs/>
              <w:sz w:val="22"/>
              <w:szCs w:val="20"/>
            </w:rPr>
            <w:fldChar w:fldCharType="end"/>
          </w:r>
        </w:p>
        <w:p w14:paraId="5C7861DA">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442" w:firstLineChars="200"/>
            <w:textAlignment w:val="baseline"/>
            <w:rPr>
              <w:b/>
              <w:bCs/>
              <w:sz w:val="22"/>
              <w:szCs w:val="20"/>
            </w:rPr>
          </w:pPr>
          <w:r>
            <w:rPr>
              <w:b/>
              <w:bCs/>
              <w:sz w:val="22"/>
              <w:szCs w:val="20"/>
            </w:rPr>
            <w:fldChar w:fldCharType="begin"/>
          </w:r>
          <w:r>
            <w:rPr>
              <w:b/>
              <w:bCs/>
              <w:sz w:val="22"/>
              <w:szCs w:val="20"/>
            </w:rPr>
            <w:instrText xml:space="preserve"> HYPERLINK \l _Toc10995 </w:instrText>
          </w:r>
          <w:r>
            <w:rPr>
              <w:b/>
              <w:bCs/>
              <w:sz w:val="22"/>
              <w:szCs w:val="20"/>
            </w:rPr>
            <w:fldChar w:fldCharType="separate"/>
          </w:r>
          <w:r>
            <w:rPr>
              <w:rFonts w:hint="eastAsia"/>
              <w:b/>
              <w:bCs/>
              <w:sz w:val="22"/>
              <w:szCs w:val="20"/>
            </w:rPr>
            <w:t>（三）  起草单位及编制组成员</w:t>
          </w:r>
          <w:r>
            <w:rPr>
              <w:b/>
              <w:bCs/>
              <w:sz w:val="22"/>
              <w:szCs w:val="20"/>
            </w:rPr>
            <w:tab/>
          </w:r>
          <w:r>
            <w:rPr>
              <w:b/>
              <w:bCs/>
              <w:sz w:val="22"/>
              <w:szCs w:val="20"/>
            </w:rPr>
            <w:fldChar w:fldCharType="begin"/>
          </w:r>
          <w:r>
            <w:rPr>
              <w:b/>
              <w:bCs/>
              <w:sz w:val="22"/>
              <w:szCs w:val="20"/>
            </w:rPr>
            <w:instrText xml:space="preserve"> PAGEREF _Toc10995 \h </w:instrText>
          </w:r>
          <w:r>
            <w:rPr>
              <w:b/>
              <w:bCs/>
              <w:sz w:val="22"/>
              <w:szCs w:val="20"/>
            </w:rPr>
            <w:fldChar w:fldCharType="separate"/>
          </w:r>
          <w:r>
            <w:rPr>
              <w:b/>
              <w:bCs/>
              <w:sz w:val="22"/>
              <w:szCs w:val="20"/>
            </w:rPr>
            <w:t>3</w:t>
          </w:r>
          <w:r>
            <w:rPr>
              <w:b/>
              <w:bCs/>
              <w:sz w:val="22"/>
              <w:szCs w:val="20"/>
            </w:rPr>
            <w:fldChar w:fldCharType="end"/>
          </w:r>
          <w:r>
            <w:rPr>
              <w:b/>
              <w:bCs/>
              <w:sz w:val="22"/>
              <w:szCs w:val="20"/>
            </w:rPr>
            <w:fldChar w:fldCharType="end"/>
          </w:r>
        </w:p>
        <w:p w14:paraId="66CF81BF">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442" w:firstLineChars="200"/>
            <w:textAlignment w:val="baseline"/>
            <w:rPr>
              <w:b/>
              <w:bCs/>
              <w:sz w:val="22"/>
              <w:szCs w:val="20"/>
            </w:rPr>
          </w:pPr>
          <w:r>
            <w:rPr>
              <w:b/>
              <w:bCs/>
              <w:sz w:val="22"/>
              <w:szCs w:val="20"/>
            </w:rPr>
            <w:fldChar w:fldCharType="begin"/>
          </w:r>
          <w:r>
            <w:rPr>
              <w:b/>
              <w:bCs/>
              <w:sz w:val="22"/>
              <w:szCs w:val="20"/>
            </w:rPr>
            <w:instrText xml:space="preserve"> HYPERLINK \l _Toc7064 </w:instrText>
          </w:r>
          <w:r>
            <w:rPr>
              <w:b/>
              <w:bCs/>
              <w:sz w:val="22"/>
              <w:szCs w:val="20"/>
            </w:rPr>
            <w:fldChar w:fldCharType="separate"/>
          </w:r>
          <w:r>
            <w:rPr>
              <w:rFonts w:hint="eastAsia"/>
              <w:b/>
              <w:bCs/>
              <w:sz w:val="22"/>
              <w:szCs w:val="20"/>
            </w:rPr>
            <w:t>（四）主要工作过程</w:t>
          </w:r>
          <w:r>
            <w:rPr>
              <w:b/>
              <w:bCs/>
              <w:sz w:val="22"/>
              <w:szCs w:val="20"/>
            </w:rPr>
            <w:tab/>
          </w:r>
          <w:r>
            <w:rPr>
              <w:b/>
              <w:bCs/>
              <w:sz w:val="22"/>
              <w:szCs w:val="20"/>
            </w:rPr>
            <w:fldChar w:fldCharType="begin"/>
          </w:r>
          <w:r>
            <w:rPr>
              <w:b/>
              <w:bCs/>
              <w:sz w:val="22"/>
              <w:szCs w:val="20"/>
            </w:rPr>
            <w:instrText xml:space="preserve"> PAGEREF _Toc7064 \h </w:instrText>
          </w:r>
          <w:r>
            <w:rPr>
              <w:b/>
              <w:bCs/>
              <w:sz w:val="22"/>
              <w:szCs w:val="20"/>
            </w:rPr>
            <w:fldChar w:fldCharType="separate"/>
          </w:r>
          <w:r>
            <w:rPr>
              <w:b/>
              <w:bCs/>
              <w:sz w:val="22"/>
              <w:szCs w:val="20"/>
            </w:rPr>
            <w:t>5</w:t>
          </w:r>
          <w:r>
            <w:rPr>
              <w:b/>
              <w:bCs/>
              <w:sz w:val="22"/>
              <w:szCs w:val="20"/>
            </w:rPr>
            <w:fldChar w:fldCharType="end"/>
          </w:r>
          <w:r>
            <w:rPr>
              <w:b/>
              <w:bCs/>
              <w:sz w:val="22"/>
              <w:szCs w:val="20"/>
            </w:rPr>
            <w:fldChar w:fldCharType="end"/>
          </w:r>
        </w:p>
        <w:p w14:paraId="3B915969">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_Toc24698 </w:instrText>
          </w:r>
          <w:r>
            <w:rPr>
              <w:b/>
              <w:bCs/>
              <w:sz w:val="22"/>
              <w:szCs w:val="20"/>
            </w:rPr>
            <w:fldChar w:fldCharType="separate"/>
          </w:r>
          <w:r>
            <w:rPr>
              <w:rFonts w:hint="eastAsia"/>
              <w:b/>
              <w:bCs/>
              <w:sz w:val="22"/>
              <w:szCs w:val="20"/>
            </w:rPr>
            <w:t>二</w:t>
          </w:r>
          <w:r>
            <w:rPr>
              <w:rFonts w:hint="eastAsia"/>
              <w:b/>
              <w:bCs/>
              <w:sz w:val="22"/>
              <w:szCs w:val="20"/>
              <w:lang w:eastAsia="zh-CN"/>
            </w:rPr>
            <w:t>、</w:t>
          </w:r>
          <w:r>
            <w:rPr>
              <w:rFonts w:hint="eastAsia"/>
              <w:b/>
              <w:bCs/>
              <w:sz w:val="22"/>
              <w:szCs w:val="20"/>
            </w:rPr>
            <w:t>团体标准编制原则和确定标准主要内容的依据</w:t>
          </w:r>
          <w:r>
            <w:rPr>
              <w:b/>
              <w:bCs/>
              <w:sz w:val="22"/>
              <w:szCs w:val="20"/>
            </w:rPr>
            <w:tab/>
          </w:r>
          <w:r>
            <w:rPr>
              <w:b/>
              <w:bCs/>
              <w:sz w:val="22"/>
              <w:szCs w:val="20"/>
            </w:rPr>
            <w:fldChar w:fldCharType="begin"/>
          </w:r>
          <w:r>
            <w:rPr>
              <w:b/>
              <w:bCs/>
              <w:sz w:val="22"/>
              <w:szCs w:val="20"/>
            </w:rPr>
            <w:instrText xml:space="preserve"> PAGEREF _Toc24698 \h </w:instrText>
          </w:r>
          <w:r>
            <w:rPr>
              <w:b/>
              <w:bCs/>
              <w:sz w:val="22"/>
              <w:szCs w:val="20"/>
            </w:rPr>
            <w:fldChar w:fldCharType="separate"/>
          </w:r>
          <w:r>
            <w:rPr>
              <w:b/>
              <w:bCs/>
              <w:sz w:val="22"/>
              <w:szCs w:val="20"/>
            </w:rPr>
            <w:t>6</w:t>
          </w:r>
          <w:r>
            <w:rPr>
              <w:b/>
              <w:bCs/>
              <w:sz w:val="22"/>
              <w:szCs w:val="20"/>
            </w:rPr>
            <w:fldChar w:fldCharType="end"/>
          </w:r>
          <w:r>
            <w:rPr>
              <w:b/>
              <w:bCs/>
              <w:sz w:val="22"/>
              <w:szCs w:val="20"/>
            </w:rPr>
            <w:fldChar w:fldCharType="end"/>
          </w:r>
        </w:p>
        <w:p w14:paraId="09764E37">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442" w:firstLineChars="200"/>
            <w:textAlignment w:val="baseline"/>
            <w:rPr>
              <w:b/>
              <w:bCs/>
              <w:sz w:val="22"/>
              <w:szCs w:val="20"/>
            </w:rPr>
          </w:pPr>
          <w:r>
            <w:rPr>
              <w:b/>
              <w:bCs/>
              <w:sz w:val="22"/>
              <w:szCs w:val="20"/>
            </w:rPr>
            <w:fldChar w:fldCharType="begin"/>
          </w:r>
          <w:r>
            <w:rPr>
              <w:b/>
              <w:bCs/>
              <w:sz w:val="22"/>
              <w:szCs w:val="20"/>
            </w:rPr>
            <w:instrText xml:space="preserve"> HYPERLINK \l _Toc20818 </w:instrText>
          </w:r>
          <w:r>
            <w:rPr>
              <w:b/>
              <w:bCs/>
              <w:sz w:val="22"/>
              <w:szCs w:val="20"/>
            </w:rPr>
            <w:fldChar w:fldCharType="separate"/>
          </w:r>
          <w:r>
            <w:rPr>
              <w:rFonts w:hint="eastAsia"/>
              <w:b/>
              <w:bCs/>
              <w:sz w:val="22"/>
              <w:szCs w:val="20"/>
            </w:rPr>
            <w:t>（一）标准编制背景</w:t>
          </w:r>
          <w:r>
            <w:rPr>
              <w:b/>
              <w:bCs/>
              <w:sz w:val="22"/>
              <w:szCs w:val="20"/>
            </w:rPr>
            <w:tab/>
          </w:r>
          <w:r>
            <w:rPr>
              <w:b/>
              <w:bCs/>
              <w:sz w:val="22"/>
              <w:szCs w:val="20"/>
            </w:rPr>
            <w:fldChar w:fldCharType="begin"/>
          </w:r>
          <w:r>
            <w:rPr>
              <w:b/>
              <w:bCs/>
              <w:sz w:val="22"/>
              <w:szCs w:val="20"/>
            </w:rPr>
            <w:instrText xml:space="preserve"> PAGEREF _Toc20818 \h </w:instrText>
          </w:r>
          <w:r>
            <w:rPr>
              <w:b/>
              <w:bCs/>
              <w:sz w:val="22"/>
              <w:szCs w:val="20"/>
            </w:rPr>
            <w:fldChar w:fldCharType="separate"/>
          </w:r>
          <w:r>
            <w:rPr>
              <w:b/>
              <w:bCs/>
              <w:sz w:val="22"/>
              <w:szCs w:val="20"/>
            </w:rPr>
            <w:t>6</w:t>
          </w:r>
          <w:r>
            <w:rPr>
              <w:b/>
              <w:bCs/>
              <w:sz w:val="22"/>
              <w:szCs w:val="20"/>
            </w:rPr>
            <w:fldChar w:fldCharType="end"/>
          </w:r>
          <w:r>
            <w:rPr>
              <w:b/>
              <w:bCs/>
              <w:sz w:val="22"/>
              <w:szCs w:val="20"/>
            </w:rPr>
            <w:fldChar w:fldCharType="end"/>
          </w:r>
        </w:p>
        <w:p w14:paraId="777F5F29">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442" w:firstLineChars="200"/>
            <w:textAlignment w:val="baseline"/>
            <w:rPr>
              <w:b/>
              <w:bCs/>
              <w:sz w:val="22"/>
              <w:szCs w:val="20"/>
            </w:rPr>
          </w:pPr>
          <w:r>
            <w:rPr>
              <w:b/>
              <w:bCs/>
              <w:sz w:val="22"/>
              <w:szCs w:val="20"/>
            </w:rPr>
            <w:fldChar w:fldCharType="begin"/>
          </w:r>
          <w:r>
            <w:rPr>
              <w:b/>
              <w:bCs/>
              <w:sz w:val="22"/>
              <w:szCs w:val="20"/>
            </w:rPr>
            <w:instrText xml:space="preserve"> HYPERLINK \l _Toc29820 </w:instrText>
          </w:r>
          <w:r>
            <w:rPr>
              <w:b/>
              <w:bCs/>
              <w:sz w:val="22"/>
              <w:szCs w:val="20"/>
            </w:rPr>
            <w:fldChar w:fldCharType="separate"/>
          </w:r>
          <w:r>
            <w:rPr>
              <w:rFonts w:hint="eastAsia"/>
              <w:b/>
              <w:bCs/>
              <w:sz w:val="22"/>
              <w:szCs w:val="20"/>
            </w:rPr>
            <w:t>（二）标准编制原则</w:t>
          </w:r>
          <w:r>
            <w:rPr>
              <w:b/>
              <w:bCs/>
              <w:sz w:val="22"/>
              <w:szCs w:val="20"/>
            </w:rPr>
            <w:tab/>
          </w:r>
          <w:r>
            <w:rPr>
              <w:b/>
              <w:bCs/>
              <w:sz w:val="22"/>
              <w:szCs w:val="20"/>
            </w:rPr>
            <w:fldChar w:fldCharType="begin"/>
          </w:r>
          <w:r>
            <w:rPr>
              <w:b/>
              <w:bCs/>
              <w:sz w:val="22"/>
              <w:szCs w:val="20"/>
            </w:rPr>
            <w:instrText xml:space="preserve"> PAGEREF _Toc29820 \h </w:instrText>
          </w:r>
          <w:r>
            <w:rPr>
              <w:b/>
              <w:bCs/>
              <w:sz w:val="22"/>
              <w:szCs w:val="20"/>
            </w:rPr>
            <w:fldChar w:fldCharType="separate"/>
          </w:r>
          <w:r>
            <w:rPr>
              <w:b/>
              <w:bCs/>
              <w:sz w:val="22"/>
              <w:szCs w:val="20"/>
            </w:rPr>
            <w:t>6</w:t>
          </w:r>
          <w:r>
            <w:rPr>
              <w:b/>
              <w:bCs/>
              <w:sz w:val="22"/>
              <w:szCs w:val="20"/>
            </w:rPr>
            <w:fldChar w:fldCharType="end"/>
          </w:r>
          <w:r>
            <w:rPr>
              <w:b/>
              <w:bCs/>
              <w:sz w:val="22"/>
              <w:szCs w:val="20"/>
            </w:rPr>
            <w:fldChar w:fldCharType="end"/>
          </w:r>
        </w:p>
        <w:p w14:paraId="7EE8E3F3">
          <w:pPr>
            <w:pStyle w:val="7"/>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442" w:firstLineChars="200"/>
            <w:textAlignment w:val="baseline"/>
            <w:rPr>
              <w:sz w:val="22"/>
              <w:szCs w:val="20"/>
            </w:rPr>
          </w:pPr>
          <w:r>
            <w:rPr>
              <w:b/>
              <w:bCs/>
              <w:sz w:val="22"/>
              <w:szCs w:val="20"/>
            </w:rPr>
            <w:fldChar w:fldCharType="begin"/>
          </w:r>
          <w:r>
            <w:rPr>
              <w:b/>
              <w:bCs/>
              <w:sz w:val="22"/>
              <w:szCs w:val="20"/>
            </w:rPr>
            <w:instrText xml:space="preserve"> HYPERLINK \l _Toc19801 </w:instrText>
          </w:r>
          <w:r>
            <w:rPr>
              <w:b/>
              <w:bCs/>
              <w:sz w:val="22"/>
              <w:szCs w:val="20"/>
            </w:rPr>
            <w:fldChar w:fldCharType="separate"/>
          </w:r>
          <w:r>
            <w:rPr>
              <w:rFonts w:hint="eastAsia"/>
              <w:b/>
              <w:bCs/>
              <w:sz w:val="22"/>
              <w:szCs w:val="20"/>
            </w:rPr>
            <w:t>（三）标准主要内容的依据</w:t>
          </w:r>
          <w:r>
            <w:rPr>
              <w:b/>
              <w:bCs/>
              <w:sz w:val="22"/>
              <w:szCs w:val="20"/>
            </w:rPr>
            <w:tab/>
          </w:r>
          <w:r>
            <w:rPr>
              <w:b/>
              <w:bCs/>
              <w:sz w:val="22"/>
              <w:szCs w:val="20"/>
            </w:rPr>
            <w:fldChar w:fldCharType="begin"/>
          </w:r>
          <w:r>
            <w:rPr>
              <w:b/>
              <w:bCs/>
              <w:sz w:val="22"/>
              <w:szCs w:val="20"/>
            </w:rPr>
            <w:instrText xml:space="preserve"> PAGEREF _Toc19801 \h </w:instrText>
          </w:r>
          <w:r>
            <w:rPr>
              <w:b/>
              <w:bCs/>
              <w:sz w:val="22"/>
              <w:szCs w:val="20"/>
            </w:rPr>
            <w:fldChar w:fldCharType="separate"/>
          </w:r>
          <w:r>
            <w:rPr>
              <w:b/>
              <w:bCs/>
              <w:sz w:val="22"/>
              <w:szCs w:val="20"/>
            </w:rPr>
            <w:t>7</w:t>
          </w:r>
          <w:r>
            <w:rPr>
              <w:b/>
              <w:bCs/>
              <w:sz w:val="22"/>
              <w:szCs w:val="20"/>
            </w:rPr>
            <w:fldChar w:fldCharType="end"/>
          </w:r>
          <w:r>
            <w:rPr>
              <w:b/>
              <w:bCs/>
              <w:sz w:val="22"/>
              <w:szCs w:val="20"/>
            </w:rPr>
            <w:fldChar w:fldCharType="end"/>
          </w:r>
        </w:p>
        <w:p w14:paraId="5B7F59EE">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880" w:firstLineChars="400"/>
            <w:textAlignment w:val="baseline"/>
            <w:rPr>
              <w:sz w:val="22"/>
              <w:szCs w:val="20"/>
            </w:rPr>
          </w:pPr>
          <w:r>
            <w:rPr>
              <w:sz w:val="22"/>
              <w:szCs w:val="20"/>
            </w:rPr>
            <w:fldChar w:fldCharType="begin"/>
          </w:r>
          <w:r>
            <w:rPr>
              <w:sz w:val="22"/>
              <w:szCs w:val="20"/>
            </w:rPr>
            <w:instrText xml:space="preserve"> HYPERLINK \l _Toc20837 </w:instrText>
          </w:r>
          <w:r>
            <w:rPr>
              <w:sz w:val="22"/>
              <w:szCs w:val="20"/>
            </w:rPr>
            <w:fldChar w:fldCharType="separate"/>
          </w:r>
          <w:r>
            <w:rPr>
              <w:rFonts w:hint="eastAsia"/>
              <w:sz w:val="22"/>
              <w:szCs w:val="20"/>
            </w:rPr>
            <w:t>1</w:t>
          </w:r>
          <w:r>
            <w:rPr>
              <w:rFonts w:hint="eastAsia"/>
              <w:sz w:val="22"/>
              <w:szCs w:val="20"/>
              <w:lang w:val="en-US" w:eastAsia="zh-CN"/>
            </w:rPr>
            <w:t xml:space="preserve">  </w:t>
          </w:r>
          <w:r>
            <w:rPr>
              <w:rFonts w:hint="eastAsia"/>
              <w:sz w:val="22"/>
              <w:szCs w:val="20"/>
            </w:rPr>
            <w:t>范围</w:t>
          </w:r>
          <w:r>
            <w:rPr>
              <w:sz w:val="22"/>
              <w:szCs w:val="20"/>
            </w:rPr>
            <w:tab/>
          </w:r>
          <w:r>
            <w:rPr>
              <w:sz w:val="22"/>
              <w:szCs w:val="20"/>
            </w:rPr>
            <w:fldChar w:fldCharType="begin"/>
          </w:r>
          <w:r>
            <w:rPr>
              <w:sz w:val="22"/>
              <w:szCs w:val="20"/>
            </w:rPr>
            <w:instrText xml:space="preserve"> PAGEREF _Toc20837 \h </w:instrText>
          </w:r>
          <w:r>
            <w:rPr>
              <w:sz w:val="22"/>
              <w:szCs w:val="20"/>
            </w:rPr>
            <w:fldChar w:fldCharType="separate"/>
          </w:r>
          <w:r>
            <w:rPr>
              <w:sz w:val="22"/>
              <w:szCs w:val="20"/>
            </w:rPr>
            <w:t>7</w:t>
          </w:r>
          <w:r>
            <w:rPr>
              <w:sz w:val="22"/>
              <w:szCs w:val="20"/>
            </w:rPr>
            <w:fldChar w:fldCharType="end"/>
          </w:r>
          <w:r>
            <w:rPr>
              <w:sz w:val="22"/>
              <w:szCs w:val="20"/>
            </w:rPr>
            <w:fldChar w:fldCharType="end"/>
          </w:r>
        </w:p>
        <w:p w14:paraId="4AE794A6">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880" w:firstLineChars="400"/>
            <w:textAlignment w:val="baseline"/>
            <w:rPr>
              <w:sz w:val="22"/>
              <w:szCs w:val="20"/>
            </w:rPr>
          </w:pPr>
          <w:r>
            <w:rPr>
              <w:sz w:val="22"/>
              <w:szCs w:val="20"/>
            </w:rPr>
            <w:fldChar w:fldCharType="begin"/>
          </w:r>
          <w:r>
            <w:rPr>
              <w:sz w:val="22"/>
              <w:szCs w:val="20"/>
            </w:rPr>
            <w:instrText xml:space="preserve"> HYPERLINK \l _Toc22600 </w:instrText>
          </w:r>
          <w:r>
            <w:rPr>
              <w:sz w:val="22"/>
              <w:szCs w:val="20"/>
            </w:rPr>
            <w:fldChar w:fldCharType="separate"/>
          </w:r>
          <w:r>
            <w:rPr>
              <w:rFonts w:hint="eastAsia"/>
              <w:sz w:val="22"/>
              <w:szCs w:val="20"/>
            </w:rPr>
            <w:t>2  规范性引用文件</w:t>
          </w:r>
          <w:r>
            <w:rPr>
              <w:sz w:val="22"/>
              <w:szCs w:val="20"/>
            </w:rPr>
            <w:tab/>
          </w:r>
          <w:r>
            <w:rPr>
              <w:sz w:val="22"/>
              <w:szCs w:val="20"/>
            </w:rPr>
            <w:fldChar w:fldCharType="begin"/>
          </w:r>
          <w:r>
            <w:rPr>
              <w:sz w:val="22"/>
              <w:szCs w:val="20"/>
            </w:rPr>
            <w:instrText xml:space="preserve"> PAGEREF _Toc22600 \h </w:instrText>
          </w:r>
          <w:r>
            <w:rPr>
              <w:sz w:val="22"/>
              <w:szCs w:val="20"/>
            </w:rPr>
            <w:fldChar w:fldCharType="separate"/>
          </w:r>
          <w:r>
            <w:rPr>
              <w:sz w:val="22"/>
              <w:szCs w:val="20"/>
            </w:rPr>
            <w:t>7</w:t>
          </w:r>
          <w:r>
            <w:rPr>
              <w:sz w:val="22"/>
              <w:szCs w:val="20"/>
            </w:rPr>
            <w:fldChar w:fldCharType="end"/>
          </w:r>
          <w:r>
            <w:rPr>
              <w:sz w:val="22"/>
              <w:szCs w:val="20"/>
            </w:rPr>
            <w:fldChar w:fldCharType="end"/>
          </w:r>
        </w:p>
        <w:p w14:paraId="4B6F0488">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880" w:firstLineChars="400"/>
            <w:textAlignment w:val="baseline"/>
            <w:rPr>
              <w:sz w:val="22"/>
              <w:szCs w:val="20"/>
            </w:rPr>
          </w:pPr>
          <w:r>
            <w:rPr>
              <w:sz w:val="22"/>
              <w:szCs w:val="20"/>
            </w:rPr>
            <w:fldChar w:fldCharType="begin"/>
          </w:r>
          <w:r>
            <w:rPr>
              <w:sz w:val="22"/>
              <w:szCs w:val="20"/>
            </w:rPr>
            <w:instrText xml:space="preserve"> HYPERLINK \l _Toc3515 </w:instrText>
          </w:r>
          <w:r>
            <w:rPr>
              <w:sz w:val="22"/>
              <w:szCs w:val="20"/>
            </w:rPr>
            <w:fldChar w:fldCharType="separate"/>
          </w:r>
          <w:r>
            <w:rPr>
              <w:rFonts w:hint="default" w:ascii="Times New Roman" w:hAnsi="Times New Roman" w:cs="Times New Roman"/>
              <w:sz w:val="22"/>
              <w:szCs w:val="20"/>
            </w:rPr>
            <w:t xml:space="preserve">4  </w:t>
          </w:r>
          <w:r>
            <w:rPr>
              <w:rFonts w:hint="default" w:ascii="Times New Roman" w:hAnsi="Times New Roman" w:cs="Times New Roman"/>
              <w:sz w:val="22"/>
              <w:szCs w:val="20"/>
              <w:lang w:val="en-US" w:eastAsia="zh-CN"/>
            </w:rPr>
            <w:t>产地范围</w:t>
          </w:r>
          <w:r>
            <w:rPr>
              <w:sz w:val="22"/>
              <w:szCs w:val="20"/>
            </w:rPr>
            <w:tab/>
          </w:r>
          <w:r>
            <w:rPr>
              <w:sz w:val="22"/>
              <w:szCs w:val="20"/>
            </w:rPr>
            <w:fldChar w:fldCharType="begin"/>
          </w:r>
          <w:r>
            <w:rPr>
              <w:sz w:val="22"/>
              <w:szCs w:val="20"/>
            </w:rPr>
            <w:instrText xml:space="preserve"> PAGEREF _Toc3515 \h </w:instrText>
          </w:r>
          <w:r>
            <w:rPr>
              <w:sz w:val="22"/>
              <w:szCs w:val="20"/>
            </w:rPr>
            <w:fldChar w:fldCharType="separate"/>
          </w:r>
          <w:r>
            <w:rPr>
              <w:sz w:val="22"/>
              <w:szCs w:val="20"/>
            </w:rPr>
            <w:t>8</w:t>
          </w:r>
          <w:r>
            <w:rPr>
              <w:sz w:val="22"/>
              <w:szCs w:val="20"/>
            </w:rPr>
            <w:fldChar w:fldCharType="end"/>
          </w:r>
          <w:r>
            <w:rPr>
              <w:sz w:val="22"/>
              <w:szCs w:val="20"/>
            </w:rPr>
            <w:fldChar w:fldCharType="end"/>
          </w:r>
        </w:p>
        <w:p w14:paraId="55198296">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880" w:firstLineChars="400"/>
            <w:textAlignment w:val="baseline"/>
            <w:rPr>
              <w:sz w:val="22"/>
              <w:szCs w:val="20"/>
            </w:rPr>
          </w:pPr>
          <w:r>
            <w:rPr>
              <w:sz w:val="22"/>
              <w:szCs w:val="20"/>
            </w:rPr>
            <w:fldChar w:fldCharType="begin"/>
          </w:r>
          <w:r>
            <w:rPr>
              <w:sz w:val="22"/>
              <w:szCs w:val="20"/>
            </w:rPr>
            <w:instrText xml:space="preserve"> HYPERLINK \l _Toc17794 </w:instrText>
          </w:r>
          <w:r>
            <w:rPr>
              <w:sz w:val="22"/>
              <w:szCs w:val="20"/>
            </w:rPr>
            <w:fldChar w:fldCharType="separate"/>
          </w:r>
          <w:r>
            <w:rPr>
              <w:rFonts w:hint="default" w:ascii="Times New Roman" w:hAnsi="Times New Roman" w:cs="Times New Roman"/>
              <w:sz w:val="22"/>
              <w:szCs w:val="20"/>
            </w:rPr>
            <w:t xml:space="preserve">5  </w:t>
          </w:r>
          <w:r>
            <w:rPr>
              <w:rFonts w:hint="default" w:ascii="Times New Roman" w:hAnsi="Times New Roman" w:cs="Times New Roman"/>
              <w:sz w:val="22"/>
              <w:szCs w:val="20"/>
              <w:lang w:val="en-US" w:eastAsia="zh-CN"/>
            </w:rPr>
            <w:t>生境条件</w:t>
          </w:r>
          <w:r>
            <w:rPr>
              <w:sz w:val="22"/>
              <w:szCs w:val="20"/>
            </w:rPr>
            <w:tab/>
          </w:r>
          <w:r>
            <w:rPr>
              <w:sz w:val="22"/>
              <w:szCs w:val="20"/>
            </w:rPr>
            <w:fldChar w:fldCharType="begin"/>
          </w:r>
          <w:r>
            <w:rPr>
              <w:sz w:val="22"/>
              <w:szCs w:val="20"/>
            </w:rPr>
            <w:instrText xml:space="preserve"> PAGEREF _Toc17794 \h </w:instrText>
          </w:r>
          <w:r>
            <w:rPr>
              <w:sz w:val="22"/>
              <w:szCs w:val="20"/>
            </w:rPr>
            <w:fldChar w:fldCharType="separate"/>
          </w:r>
          <w:r>
            <w:rPr>
              <w:sz w:val="22"/>
              <w:szCs w:val="20"/>
            </w:rPr>
            <w:t>8</w:t>
          </w:r>
          <w:r>
            <w:rPr>
              <w:sz w:val="22"/>
              <w:szCs w:val="20"/>
            </w:rPr>
            <w:fldChar w:fldCharType="end"/>
          </w:r>
          <w:r>
            <w:rPr>
              <w:sz w:val="22"/>
              <w:szCs w:val="20"/>
            </w:rPr>
            <w:fldChar w:fldCharType="end"/>
          </w:r>
        </w:p>
        <w:p w14:paraId="6766F60F">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880" w:firstLineChars="400"/>
            <w:textAlignment w:val="baseline"/>
            <w:rPr>
              <w:sz w:val="22"/>
              <w:szCs w:val="20"/>
            </w:rPr>
          </w:pPr>
          <w:r>
            <w:rPr>
              <w:sz w:val="22"/>
              <w:szCs w:val="20"/>
            </w:rPr>
            <w:fldChar w:fldCharType="begin"/>
          </w:r>
          <w:r>
            <w:rPr>
              <w:sz w:val="22"/>
              <w:szCs w:val="20"/>
            </w:rPr>
            <w:instrText xml:space="preserve"> HYPERLINK \l _Toc12926 </w:instrText>
          </w:r>
          <w:r>
            <w:rPr>
              <w:sz w:val="22"/>
              <w:szCs w:val="20"/>
            </w:rPr>
            <w:fldChar w:fldCharType="separate"/>
          </w:r>
          <w:r>
            <w:rPr>
              <w:rFonts w:hint="eastAsia"/>
              <w:sz w:val="22"/>
              <w:szCs w:val="20"/>
              <w:lang w:val="en-US" w:eastAsia="zh-CN"/>
            </w:rPr>
            <w:t>6  水稻生产</w:t>
          </w:r>
          <w:r>
            <w:rPr>
              <w:sz w:val="22"/>
              <w:szCs w:val="20"/>
            </w:rPr>
            <w:tab/>
          </w:r>
          <w:r>
            <w:rPr>
              <w:sz w:val="22"/>
              <w:szCs w:val="20"/>
            </w:rPr>
            <w:fldChar w:fldCharType="begin"/>
          </w:r>
          <w:r>
            <w:rPr>
              <w:sz w:val="22"/>
              <w:szCs w:val="20"/>
            </w:rPr>
            <w:instrText xml:space="preserve"> PAGEREF _Toc12926 \h </w:instrText>
          </w:r>
          <w:r>
            <w:rPr>
              <w:sz w:val="22"/>
              <w:szCs w:val="20"/>
            </w:rPr>
            <w:fldChar w:fldCharType="separate"/>
          </w:r>
          <w:r>
            <w:rPr>
              <w:sz w:val="22"/>
              <w:szCs w:val="20"/>
            </w:rPr>
            <w:t>9</w:t>
          </w:r>
          <w:r>
            <w:rPr>
              <w:sz w:val="22"/>
              <w:szCs w:val="20"/>
            </w:rPr>
            <w:fldChar w:fldCharType="end"/>
          </w:r>
          <w:r>
            <w:rPr>
              <w:sz w:val="22"/>
              <w:szCs w:val="20"/>
            </w:rPr>
            <w:fldChar w:fldCharType="end"/>
          </w:r>
        </w:p>
        <w:p w14:paraId="0E39B26D">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880" w:firstLineChars="400"/>
            <w:textAlignment w:val="baseline"/>
            <w:rPr>
              <w:sz w:val="22"/>
              <w:szCs w:val="20"/>
            </w:rPr>
          </w:pPr>
          <w:r>
            <w:rPr>
              <w:sz w:val="22"/>
              <w:szCs w:val="20"/>
            </w:rPr>
            <w:fldChar w:fldCharType="begin"/>
          </w:r>
          <w:r>
            <w:rPr>
              <w:sz w:val="22"/>
              <w:szCs w:val="20"/>
            </w:rPr>
            <w:instrText xml:space="preserve"> HYPERLINK \l _Toc6275 </w:instrText>
          </w:r>
          <w:r>
            <w:rPr>
              <w:sz w:val="22"/>
              <w:szCs w:val="20"/>
            </w:rPr>
            <w:fldChar w:fldCharType="separate"/>
          </w:r>
          <w:r>
            <w:rPr>
              <w:rFonts w:hint="eastAsia"/>
              <w:sz w:val="22"/>
              <w:szCs w:val="20"/>
              <w:lang w:val="en-US" w:eastAsia="zh-CN"/>
            </w:rPr>
            <w:t>7  加工生产</w:t>
          </w:r>
          <w:r>
            <w:rPr>
              <w:sz w:val="22"/>
              <w:szCs w:val="20"/>
            </w:rPr>
            <w:tab/>
          </w:r>
          <w:r>
            <w:rPr>
              <w:sz w:val="22"/>
              <w:szCs w:val="20"/>
            </w:rPr>
            <w:fldChar w:fldCharType="begin"/>
          </w:r>
          <w:r>
            <w:rPr>
              <w:sz w:val="22"/>
              <w:szCs w:val="20"/>
            </w:rPr>
            <w:instrText xml:space="preserve"> PAGEREF _Toc6275 \h </w:instrText>
          </w:r>
          <w:r>
            <w:rPr>
              <w:sz w:val="22"/>
              <w:szCs w:val="20"/>
            </w:rPr>
            <w:fldChar w:fldCharType="separate"/>
          </w:r>
          <w:r>
            <w:rPr>
              <w:sz w:val="22"/>
              <w:szCs w:val="20"/>
            </w:rPr>
            <w:t>11</w:t>
          </w:r>
          <w:r>
            <w:rPr>
              <w:sz w:val="22"/>
              <w:szCs w:val="20"/>
            </w:rPr>
            <w:fldChar w:fldCharType="end"/>
          </w:r>
          <w:r>
            <w:rPr>
              <w:sz w:val="22"/>
              <w:szCs w:val="20"/>
            </w:rPr>
            <w:fldChar w:fldCharType="end"/>
          </w:r>
        </w:p>
        <w:p w14:paraId="28555CD3">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880" w:firstLineChars="400"/>
            <w:textAlignment w:val="baseline"/>
            <w:rPr>
              <w:sz w:val="22"/>
              <w:szCs w:val="20"/>
            </w:rPr>
          </w:pPr>
          <w:r>
            <w:rPr>
              <w:sz w:val="22"/>
              <w:szCs w:val="20"/>
            </w:rPr>
            <w:fldChar w:fldCharType="begin"/>
          </w:r>
          <w:r>
            <w:rPr>
              <w:sz w:val="22"/>
              <w:szCs w:val="20"/>
            </w:rPr>
            <w:instrText xml:space="preserve"> HYPERLINK \l _Toc25011 </w:instrText>
          </w:r>
          <w:r>
            <w:rPr>
              <w:sz w:val="22"/>
              <w:szCs w:val="20"/>
            </w:rPr>
            <w:fldChar w:fldCharType="separate"/>
          </w:r>
          <w:r>
            <w:rPr>
              <w:rFonts w:hint="eastAsia"/>
              <w:sz w:val="22"/>
              <w:szCs w:val="20"/>
              <w:lang w:val="en-US" w:eastAsia="zh-CN"/>
            </w:rPr>
            <w:t>8  销售</w:t>
          </w:r>
          <w:r>
            <w:rPr>
              <w:sz w:val="22"/>
              <w:szCs w:val="20"/>
            </w:rPr>
            <w:tab/>
          </w:r>
          <w:r>
            <w:rPr>
              <w:sz w:val="22"/>
              <w:szCs w:val="20"/>
            </w:rPr>
            <w:fldChar w:fldCharType="begin"/>
          </w:r>
          <w:r>
            <w:rPr>
              <w:sz w:val="22"/>
              <w:szCs w:val="20"/>
            </w:rPr>
            <w:instrText xml:space="preserve"> PAGEREF _Toc25011 \h </w:instrText>
          </w:r>
          <w:r>
            <w:rPr>
              <w:sz w:val="22"/>
              <w:szCs w:val="20"/>
            </w:rPr>
            <w:fldChar w:fldCharType="separate"/>
          </w:r>
          <w:r>
            <w:rPr>
              <w:sz w:val="22"/>
              <w:szCs w:val="20"/>
            </w:rPr>
            <w:t>12</w:t>
          </w:r>
          <w:r>
            <w:rPr>
              <w:sz w:val="22"/>
              <w:szCs w:val="20"/>
            </w:rPr>
            <w:fldChar w:fldCharType="end"/>
          </w:r>
          <w:r>
            <w:rPr>
              <w:sz w:val="22"/>
              <w:szCs w:val="20"/>
            </w:rPr>
            <w:fldChar w:fldCharType="end"/>
          </w:r>
        </w:p>
        <w:p w14:paraId="3B124900">
          <w:pPr>
            <w:pStyle w:val="10"/>
            <w:keepNext w:val="0"/>
            <w:keepLines w:val="0"/>
            <w:pageBreakBefore w:val="0"/>
            <w:widowControl/>
            <w:tabs>
              <w:tab w:val="right" w:leader="dot" w:pos="9341"/>
            </w:tabs>
            <w:kinsoku w:val="0"/>
            <w:wordWrap/>
            <w:overflowPunct/>
            <w:topLinePunct w:val="0"/>
            <w:autoSpaceDE w:val="0"/>
            <w:autoSpaceDN w:val="0"/>
            <w:bidi w:val="0"/>
            <w:adjustRightInd w:val="0"/>
            <w:snapToGrid w:val="0"/>
            <w:ind w:left="0" w:leftChars="0" w:firstLine="880" w:firstLineChars="400"/>
            <w:textAlignment w:val="baseline"/>
            <w:rPr>
              <w:sz w:val="22"/>
              <w:szCs w:val="20"/>
            </w:rPr>
          </w:pPr>
          <w:r>
            <w:rPr>
              <w:sz w:val="22"/>
              <w:szCs w:val="20"/>
            </w:rPr>
            <w:fldChar w:fldCharType="begin"/>
          </w:r>
          <w:r>
            <w:rPr>
              <w:sz w:val="22"/>
              <w:szCs w:val="20"/>
            </w:rPr>
            <w:instrText xml:space="preserve"> HYPERLINK \l _Toc19925 </w:instrText>
          </w:r>
          <w:r>
            <w:rPr>
              <w:sz w:val="22"/>
              <w:szCs w:val="20"/>
            </w:rPr>
            <w:fldChar w:fldCharType="separate"/>
          </w:r>
          <w:r>
            <w:rPr>
              <w:rFonts w:hint="eastAsia"/>
              <w:sz w:val="22"/>
              <w:szCs w:val="20"/>
              <w:lang w:val="en-US" w:eastAsia="zh-CN"/>
            </w:rPr>
            <w:t>9  管理</w:t>
          </w:r>
          <w:r>
            <w:rPr>
              <w:sz w:val="22"/>
              <w:szCs w:val="20"/>
            </w:rPr>
            <w:tab/>
          </w:r>
          <w:r>
            <w:rPr>
              <w:sz w:val="22"/>
              <w:szCs w:val="20"/>
            </w:rPr>
            <w:fldChar w:fldCharType="begin"/>
          </w:r>
          <w:r>
            <w:rPr>
              <w:sz w:val="22"/>
              <w:szCs w:val="20"/>
            </w:rPr>
            <w:instrText xml:space="preserve"> PAGEREF _Toc19925 \h </w:instrText>
          </w:r>
          <w:r>
            <w:rPr>
              <w:sz w:val="22"/>
              <w:szCs w:val="20"/>
            </w:rPr>
            <w:fldChar w:fldCharType="separate"/>
          </w:r>
          <w:r>
            <w:rPr>
              <w:sz w:val="22"/>
              <w:szCs w:val="20"/>
            </w:rPr>
            <w:t>13</w:t>
          </w:r>
          <w:r>
            <w:rPr>
              <w:sz w:val="22"/>
              <w:szCs w:val="20"/>
            </w:rPr>
            <w:fldChar w:fldCharType="end"/>
          </w:r>
          <w:r>
            <w:rPr>
              <w:sz w:val="22"/>
              <w:szCs w:val="20"/>
            </w:rPr>
            <w:fldChar w:fldCharType="end"/>
          </w:r>
        </w:p>
        <w:p w14:paraId="439186B4">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_Toc17934 </w:instrText>
          </w:r>
          <w:r>
            <w:rPr>
              <w:b/>
              <w:bCs/>
              <w:sz w:val="22"/>
              <w:szCs w:val="20"/>
            </w:rPr>
            <w:fldChar w:fldCharType="separate"/>
          </w:r>
          <w:r>
            <w:rPr>
              <w:rFonts w:hint="eastAsia"/>
              <w:b/>
              <w:bCs/>
              <w:sz w:val="22"/>
              <w:szCs w:val="20"/>
            </w:rPr>
            <w:t>三 、主要试验 （或验证） 情况分析</w:t>
          </w:r>
          <w:r>
            <w:rPr>
              <w:b/>
              <w:bCs/>
              <w:sz w:val="22"/>
              <w:szCs w:val="20"/>
            </w:rPr>
            <w:tab/>
          </w:r>
          <w:r>
            <w:rPr>
              <w:b/>
              <w:bCs/>
              <w:sz w:val="22"/>
              <w:szCs w:val="20"/>
            </w:rPr>
            <w:fldChar w:fldCharType="begin"/>
          </w:r>
          <w:r>
            <w:rPr>
              <w:b/>
              <w:bCs/>
              <w:sz w:val="22"/>
              <w:szCs w:val="20"/>
            </w:rPr>
            <w:instrText xml:space="preserve"> PAGEREF _Toc17934 \h </w:instrText>
          </w:r>
          <w:r>
            <w:rPr>
              <w:b/>
              <w:bCs/>
              <w:sz w:val="22"/>
              <w:szCs w:val="20"/>
            </w:rPr>
            <w:fldChar w:fldCharType="separate"/>
          </w:r>
          <w:r>
            <w:rPr>
              <w:b/>
              <w:bCs/>
              <w:sz w:val="22"/>
              <w:szCs w:val="20"/>
            </w:rPr>
            <w:t>13</w:t>
          </w:r>
          <w:r>
            <w:rPr>
              <w:b/>
              <w:bCs/>
              <w:sz w:val="22"/>
              <w:szCs w:val="20"/>
            </w:rPr>
            <w:fldChar w:fldCharType="end"/>
          </w:r>
          <w:r>
            <w:rPr>
              <w:b/>
              <w:bCs/>
              <w:sz w:val="22"/>
              <w:szCs w:val="20"/>
            </w:rPr>
            <w:fldChar w:fldCharType="end"/>
          </w:r>
        </w:p>
        <w:p w14:paraId="1053FB2B">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_Toc11389 </w:instrText>
          </w:r>
          <w:r>
            <w:rPr>
              <w:b/>
              <w:bCs/>
              <w:sz w:val="22"/>
              <w:szCs w:val="20"/>
            </w:rPr>
            <w:fldChar w:fldCharType="separate"/>
          </w:r>
          <w:r>
            <w:rPr>
              <w:rFonts w:hint="eastAsia"/>
              <w:b/>
              <w:bCs/>
              <w:sz w:val="22"/>
              <w:szCs w:val="20"/>
            </w:rPr>
            <w:t>四 、标准中涉及专利的情况</w:t>
          </w:r>
          <w:r>
            <w:rPr>
              <w:b/>
              <w:bCs/>
              <w:sz w:val="22"/>
              <w:szCs w:val="20"/>
            </w:rPr>
            <w:tab/>
          </w:r>
          <w:r>
            <w:rPr>
              <w:b/>
              <w:bCs/>
              <w:sz w:val="22"/>
              <w:szCs w:val="20"/>
            </w:rPr>
            <w:fldChar w:fldCharType="begin"/>
          </w:r>
          <w:r>
            <w:rPr>
              <w:b/>
              <w:bCs/>
              <w:sz w:val="22"/>
              <w:szCs w:val="20"/>
            </w:rPr>
            <w:instrText xml:space="preserve"> PAGEREF _Toc11389 \h </w:instrText>
          </w:r>
          <w:r>
            <w:rPr>
              <w:b/>
              <w:bCs/>
              <w:sz w:val="22"/>
              <w:szCs w:val="20"/>
            </w:rPr>
            <w:fldChar w:fldCharType="separate"/>
          </w:r>
          <w:r>
            <w:rPr>
              <w:b/>
              <w:bCs/>
              <w:sz w:val="22"/>
              <w:szCs w:val="20"/>
            </w:rPr>
            <w:t>16</w:t>
          </w:r>
          <w:r>
            <w:rPr>
              <w:b/>
              <w:bCs/>
              <w:sz w:val="22"/>
              <w:szCs w:val="20"/>
            </w:rPr>
            <w:fldChar w:fldCharType="end"/>
          </w:r>
          <w:r>
            <w:rPr>
              <w:b/>
              <w:bCs/>
              <w:sz w:val="22"/>
              <w:szCs w:val="20"/>
            </w:rPr>
            <w:fldChar w:fldCharType="end"/>
          </w:r>
        </w:p>
        <w:p w14:paraId="24C02BE6">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_Toc15631 </w:instrText>
          </w:r>
          <w:r>
            <w:rPr>
              <w:b/>
              <w:bCs/>
              <w:sz w:val="22"/>
              <w:szCs w:val="20"/>
            </w:rPr>
            <w:fldChar w:fldCharType="separate"/>
          </w:r>
          <w:r>
            <w:rPr>
              <w:rFonts w:hint="eastAsia"/>
              <w:b/>
              <w:bCs/>
              <w:sz w:val="22"/>
              <w:szCs w:val="20"/>
            </w:rPr>
            <w:t>五 、预期达到的社会效益</w:t>
          </w:r>
          <w:r>
            <w:rPr>
              <w:b/>
              <w:bCs/>
              <w:sz w:val="22"/>
              <w:szCs w:val="20"/>
            </w:rPr>
            <w:tab/>
          </w:r>
          <w:r>
            <w:rPr>
              <w:b/>
              <w:bCs/>
              <w:sz w:val="22"/>
              <w:szCs w:val="20"/>
            </w:rPr>
            <w:fldChar w:fldCharType="begin"/>
          </w:r>
          <w:r>
            <w:rPr>
              <w:b/>
              <w:bCs/>
              <w:sz w:val="22"/>
              <w:szCs w:val="20"/>
            </w:rPr>
            <w:instrText xml:space="preserve"> PAGEREF _Toc15631 \h </w:instrText>
          </w:r>
          <w:r>
            <w:rPr>
              <w:b/>
              <w:bCs/>
              <w:sz w:val="22"/>
              <w:szCs w:val="20"/>
            </w:rPr>
            <w:fldChar w:fldCharType="separate"/>
          </w:r>
          <w:r>
            <w:rPr>
              <w:b/>
              <w:bCs/>
              <w:sz w:val="22"/>
              <w:szCs w:val="20"/>
            </w:rPr>
            <w:t>16</w:t>
          </w:r>
          <w:r>
            <w:rPr>
              <w:b/>
              <w:bCs/>
              <w:sz w:val="22"/>
              <w:szCs w:val="20"/>
            </w:rPr>
            <w:fldChar w:fldCharType="end"/>
          </w:r>
          <w:r>
            <w:rPr>
              <w:b/>
              <w:bCs/>
              <w:sz w:val="22"/>
              <w:szCs w:val="20"/>
            </w:rPr>
            <w:fldChar w:fldCharType="end"/>
          </w:r>
        </w:p>
        <w:p w14:paraId="55B35C7E">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_Toc27688 </w:instrText>
          </w:r>
          <w:r>
            <w:rPr>
              <w:b/>
              <w:bCs/>
              <w:sz w:val="22"/>
              <w:szCs w:val="20"/>
            </w:rPr>
            <w:fldChar w:fldCharType="separate"/>
          </w:r>
          <w:r>
            <w:rPr>
              <w:rFonts w:hint="eastAsia"/>
              <w:b/>
              <w:bCs/>
              <w:sz w:val="22"/>
              <w:szCs w:val="20"/>
            </w:rPr>
            <w:t>六 、采用国际标准和国外先进标准的情况</w:t>
          </w:r>
          <w:r>
            <w:rPr>
              <w:b/>
              <w:bCs/>
              <w:sz w:val="22"/>
              <w:szCs w:val="20"/>
            </w:rPr>
            <w:tab/>
          </w:r>
          <w:r>
            <w:rPr>
              <w:b/>
              <w:bCs/>
              <w:sz w:val="22"/>
              <w:szCs w:val="20"/>
            </w:rPr>
            <w:fldChar w:fldCharType="begin"/>
          </w:r>
          <w:r>
            <w:rPr>
              <w:b/>
              <w:bCs/>
              <w:sz w:val="22"/>
              <w:szCs w:val="20"/>
            </w:rPr>
            <w:instrText xml:space="preserve"> PAGEREF _Toc27688 \h </w:instrText>
          </w:r>
          <w:r>
            <w:rPr>
              <w:b/>
              <w:bCs/>
              <w:sz w:val="22"/>
              <w:szCs w:val="20"/>
            </w:rPr>
            <w:fldChar w:fldCharType="separate"/>
          </w:r>
          <w:r>
            <w:rPr>
              <w:b/>
              <w:bCs/>
              <w:sz w:val="22"/>
              <w:szCs w:val="20"/>
            </w:rPr>
            <w:t>16</w:t>
          </w:r>
          <w:r>
            <w:rPr>
              <w:b/>
              <w:bCs/>
              <w:sz w:val="22"/>
              <w:szCs w:val="20"/>
            </w:rPr>
            <w:fldChar w:fldCharType="end"/>
          </w:r>
          <w:r>
            <w:rPr>
              <w:b/>
              <w:bCs/>
              <w:sz w:val="22"/>
              <w:szCs w:val="20"/>
            </w:rPr>
            <w:fldChar w:fldCharType="end"/>
          </w:r>
        </w:p>
        <w:p w14:paraId="12D94797">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_Toc30498 </w:instrText>
          </w:r>
          <w:r>
            <w:rPr>
              <w:b/>
              <w:bCs/>
              <w:sz w:val="22"/>
              <w:szCs w:val="20"/>
            </w:rPr>
            <w:fldChar w:fldCharType="separate"/>
          </w:r>
          <w:r>
            <w:rPr>
              <w:rFonts w:hint="eastAsia"/>
              <w:b/>
              <w:bCs/>
              <w:sz w:val="22"/>
              <w:szCs w:val="20"/>
            </w:rPr>
            <w:t>七、与现行相关法律、法规规章及相关标准，特别是强制性标准的协调性</w:t>
          </w:r>
          <w:r>
            <w:rPr>
              <w:b/>
              <w:bCs/>
              <w:sz w:val="22"/>
              <w:szCs w:val="20"/>
            </w:rPr>
            <w:tab/>
          </w:r>
          <w:r>
            <w:rPr>
              <w:b/>
              <w:bCs/>
              <w:sz w:val="22"/>
              <w:szCs w:val="20"/>
            </w:rPr>
            <w:fldChar w:fldCharType="begin"/>
          </w:r>
          <w:r>
            <w:rPr>
              <w:b/>
              <w:bCs/>
              <w:sz w:val="22"/>
              <w:szCs w:val="20"/>
            </w:rPr>
            <w:instrText xml:space="preserve"> PAGEREF _Toc30498 \h </w:instrText>
          </w:r>
          <w:r>
            <w:rPr>
              <w:b/>
              <w:bCs/>
              <w:sz w:val="22"/>
              <w:szCs w:val="20"/>
            </w:rPr>
            <w:fldChar w:fldCharType="separate"/>
          </w:r>
          <w:r>
            <w:rPr>
              <w:b/>
              <w:bCs/>
              <w:sz w:val="22"/>
              <w:szCs w:val="20"/>
            </w:rPr>
            <w:t>17</w:t>
          </w:r>
          <w:r>
            <w:rPr>
              <w:b/>
              <w:bCs/>
              <w:sz w:val="22"/>
              <w:szCs w:val="20"/>
            </w:rPr>
            <w:fldChar w:fldCharType="end"/>
          </w:r>
          <w:r>
            <w:rPr>
              <w:b/>
              <w:bCs/>
              <w:sz w:val="22"/>
              <w:szCs w:val="20"/>
            </w:rPr>
            <w:fldChar w:fldCharType="end"/>
          </w:r>
        </w:p>
        <w:p w14:paraId="4B2B7A97">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_Toc7514 </w:instrText>
          </w:r>
          <w:r>
            <w:rPr>
              <w:b/>
              <w:bCs/>
              <w:sz w:val="22"/>
              <w:szCs w:val="20"/>
            </w:rPr>
            <w:fldChar w:fldCharType="separate"/>
          </w:r>
          <w:r>
            <w:rPr>
              <w:rFonts w:hint="eastAsia"/>
              <w:b/>
              <w:bCs/>
              <w:sz w:val="22"/>
              <w:szCs w:val="20"/>
            </w:rPr>
            <w:t>八 、重大意见分歧的处理结果和依据</w:t>
          </w:r>
          <w:r>
            <w:rPr>
              <w:b/>
              <w:bCs/>
              <w:sz w:val="22"/>
              <w:szCs w:val="20"/>
            </w:rPr>
            <w:tab/>
          </w:r>
          <w:r>
            <w:rPr>
              <w:b/>
              <w:bCs/>
              <w:sz w:val="22"/>
              <w:szCs w:val="20"/>
            </w:rPr>
            <w:fldChar w:fldCharType="begin"/>
          </w:r>
          <w:r>
            <w:rPr>
              <w:b/>
              <w:bCs/>
              <w:sz w:val="22"/>
              <w:szCs w:val="20"/>
            </w:rPr>
            <w:instrText xml:space="preserve"> PAGEREF _Toc7514 \h </w:instrText>
          </w:r>
          <w:r>
            <w:rPr>
              <w:b/>
              <w:bCs/>
              <w:sz w:val="22"/>
              <w:szCs w:val="20"/>
            </w:rPr>
            <w:fldChar w:fldCharType="separate"/>
          </w:r>
          <w:r>
            <w:rPr>
              <w:b/>
              <w:bCs/>
              <w:sz w:val="22"/>
              <w:szCs w:val="20"/>
            </w:rPr>
            <w:t>19</w:t>
          </w:r>
          <w:r>
            <w:rPr>
              <w:b/>
              <w:bCs/>
              <w:sz w:val="22"/>
              <w:szCs w:val="20"/>
            </w:rPr>
            <w:fldChar w:fldCharType="end"/>
          </w:r>
          <w:r>
            <w:rPr>
              <w:b/>
              <w:bCs/>
              <w:sz w:val="22"/>
              <w:szCs w:val="20"/>
            </w:rPr>
            <w:fldChar w:fldCharType="end"/>
          </w:r>
        </w:p>
        <w:p w14:paraId="0A9A0FC6">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_Toc25967 </w:instrText>
          </w:r>
          <w:r>
            <w:rPr>
              <w:b/>
              <w:bCs/>
              <w:sz w:val="22"/>
              <w:szCs w:val="20"/>
            </w:rPr>
            <w:fldChar w:fldCharType="separate"/>
          </w:r>
          <w:r>
            <w:rPr>
              <w:rFonts w:hint="eastAsia"/>
              <w:b/>
              <w:bCs/>
              <w:sz w:val="22"/>
              <w:szCs w:val="20"/>
            </w:rPr>
            <w:t>九 、作为推荐性国家标准的建议</w:t>
          </w:r>
          <w:r>
            <w:rPr>
              <w:b/>
              <w:bCs/>
              <w:sz w:val="22"/>
              <w:szCs w:val="20"/>
            </w:rPr>
            <w:tab/>
          </w:r>
          <w:r>
            <w:rPr>
              <w:b/>
              <w:bCs/>
              <w:sz w:val="22"/>
              <w:szCs w:val="20"/>
            </w:rPr>
            <w:fldChar w:fldCharType="begin"/>
          </w:r>
          <w:r>
            <w:rPr>
              <w:b/>
              <w:bCs/>
              <w:sz w:val="22"/>
              <w:szCs w:val="20"/>
            </w:rPr>
            <w:instrText xml:space="preserve"> PAGEREF _Toc25967 \h </w:instrText>
          </w:r>
          <w:r>
            <w:rPr>
              <w:b/>
              <w:bCs/>
              <w:sz w:val="22"/>
              <w:szCs w:val="20"/>
            </w:rPr>
            <w:fldChar w:fldCharType="separate"/>
          </w:r>
          <w:r>
            <w:rPr>
              <w:b/>
              <w:bCs/>
              <w:sz w:val="22"/>
              <w:szCs w:val="20"/>
            </w:rPr>
            <w:t>19</w:t>
          </w:r>
          <w:r>
            <w:rPr>
              <w:b/>
              <w:bCs/>
              <w:sz w:val="22"/>
              <w:szCs w:val="20"/>
            </w:rPr>
            <w:fldChar w:fldCharType="end"/>
          </w:r>
          <w:r>
            <w:rPr>
              <w:b/>
              <w:bCs/>
              <w:sz w:val="22"/>
              <w:szCs w:val="20"/>
            </w:rPr>
            <w:fldChar w:fldCharType="end"/>
          </w:r>
        </w:p>
        <w:p w14:paraId="73FF65CC">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_Toc27752 </w:instrText>
          </w:r>
          <w:r>
            <w:rPr>
              <w:b/>
              <w:bCs/>
              <w:sz w:val="22"/>
              <w:szCs w:val="20"/>
            </w:rPr>
            <w:fldChar w:fldCharType="separate"/>
          </w:r>
          <w:r>
            <w:rPr>
              <w:rFonts w:hint="eastAsia"/>
              <w:b/>
              <w:bCs/>
              <w:sz w:val="22"/>
              <w:szCs w:val="20"/>
            </w:rPr>
            <w:t>十 、贯彻标准的要求和措施建议</w:t>
          </w:r>
          <w:r>
            <w:rPr>
              <w:b/>
              <w:bCs/>
              <w:sz w:val="22"/>
              <w:szCs w:val="20"/>
            </w:rPr>
            <w:tab/>
          </w:r>
          <w:r>
            <w:rPr>
              <w:b/>
              <w:bCs/>
              <w:sz w:val="22"/>
              <w:szCs w:val="20"/>
            </w:rPr>
            <w:fldChar w:fldCharType="begin"/>
          </w:r>
          <w:r>
            <w:rPr>
              <w:b/>
              <w:bCs/>
              <w:sz w:val="22"/>
              <w:szCs w:val="20"/>
            </w:rPr>
            <w:instrText xml:space="preserve"> PAGEREF _Toc27752 \h </w:instrText>
          </w:r>
          <w:r>
            <w:rPr>
              <w:b/>
              <w:bCs/>
              <w:sz w:val="22"/>
              <w:szCs w:val="20"/>
            </w:rPr>
            <w:fldChar w:fldCharType="separate"/>
          </w:r>
          <w:r>
            <w:rPr>
              <w:b/>
              <w:bCs/>
              <w:sz w:val="22"/>
              <w:szCs w:val="20"/>
            </w:rPr>
            <w:t>19</w:t>
          </w:r>
          <w:r>
            <w:rPr>
              <w:b/>
              <w:bCs/>
              <w:sz w:val="22"/>
              <w:szCs w:val="20"/>
            </w:rPr>
            <w:fldChar w:fldCharType="end"/>
          </w:r>
          <w:r>
            <w:rPr>
              <w:b/>
              <w:bCs/>
              <w:sz w:val="22"/>
              <w:szCs w:val="20"/>
            </w:rPr>
            <w:fldChar w:fldCharType="end"/>
          </w:r>
        </w:p>
        <w:p w14:paraId="42B1C0CD">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_Toc19331 </w:instrText>
          </w:r>
          <w:r>
            <w:rPr>
              <w:b/>
              <w:bCs/>
              <w:sz w:val="22"/>
              <w:szCs w:val="20"/>
            </w:rPr>
            <w:fldChar w:fldCharType="separate"/>
          </w:r>
          <w:r>
            <w:rPr>
              <w:rFonts w:hint="eastAsia"/>
              <w:b/>
              <w:bCs/>
              <w:sz w:val="22"/>
              <w:szCs w:val="20"/>
            </w:rPr>
            <w:t>十一 、废止现行相关标准的建议</w:t>
          </w:r>
          <w:r>
            <w:rPr>
              <w:b/>
              <w:bCs/>
              <w:sz w:val="22"/>
              <w:szCs w:val="20"/>
            </w:rPr>
            <w:tab/>
          </w:r>
          <w:r>
            <w:rPr>
              <w:b/>
              <w:bCs/>
              <w:sz w:val="22"/>
              <w:szCs w:val="20"/>
            </w:rPr>
            <w:fldChar w:fldCharType="begin"/>
          </w:r>
          <w:r>
            <w:rPr>
              <w:b/>
              <w:bCs/>
              <w:sz w:val="22"/>
              <w:szCs w:val="20"/>
            </w:rPr>
            <w:instrText xml:space="preserve"> PAGEREF _Toc19331 \h </w:instrText>
          </w:r>
          <w:r>
            <w:rPr>
              <w:b/>
              <w:bCs/>
              <w:sz w:val="22"/>
              <w:szCs w:val="20"/>
            </w:rPr>
            <w:fldChar w:fldCharType="separate"/>
          </w:r>
          <w:r>
            <w:rPr>
              <w:b/>
              <w:bCs/>
              <w:sz w:val="22"/>
              <w:szCs w:val="20"/>
            </w:rPr>
            <w:t>19</w:t>
          </w:r>
          <w:r>
            <w:rPr>
              <w:b/>
              <w:bCs/>
              <w:sz w:val="22"/>
              <w:szCs w:val="20"/>
            </w:rPr>
            <w:fldChar w:fldCharType="end"/>
          </w:r>
          <w:r>
            <w:rPr>
              <w:b/>
              <w:bCs/>
              <w:sz w:val="22"/>
              <w:szCs w:val="20"/>
            </w:rPr>
            <w:fldChar w:fldCharType="end"/>
          </w:r>
        </w:p>
        <w:p w14:paraId="00A686BD">
          <w:pPr>
            <w:pStyle w:val="11"/>
            <w:keepNext w:val="0"/>
            <w:keepLines w:val="0"/>
            <w:pageBreakBefore w:val="0"/>
            <w:widowControl/>
            <w:tabs>
              <w:tab w:val="right" w:leader="dot" w:pos="9341"/>
            </w:tabs>
            <w:wordWrap/>
            <w:overflowPunct/>
            <w:topLinePunct w:val="0"/>
            <w:bidi w:val="0"/>
            <w:ind w:left="0" w:leftChars="0" w:firstLine="0" w:firstLineChars="0"/>
            <w:rPr>
              <w:b/>
              <w:bCs/>
              <w:sz w:val="22"/>
              <w:szCs w:val="20"/>
            </w:rPr>
          </w:pPr>
          <w:r>
            <w:rPr>
              <w:b/>
              <w:bCs/>
              <w:sz w:val="22"/>
              <w:szCs w:val="20"/>
            </w:rPr>
            <w:fldChar w:fldCharType="begin"/>
          </w:r>
          <w:r>
            <w:rPr>
              <w:b/>
              <w:bCs/>
              <w:sz w:val="22"/>
              <w:szCs w:val="20"/>
            </w:rPr>
            <w:instrText xml:space="preserve"> HYPERLINK \l _Toc23824 </w:instrText>
          </w:r>
          <w:r>
            <w:rPr>
              <w:b/>
              <w:bCs/>
              <w:sz w:val="22"/>
              <w:szCs w:val="20"/>
            </w:rPr>
            <w:fldChar w:fldCharType="separate"/>
          </w:r>
          <w:r>
            <w:rPr>
              <w:rFonts w:hint="eastAsia"/>
              <w:b/>
              <w:bCs/>
              <w:sz w:val="22"/>
              <w:szCs w:val="20"/>
            </w:rPr>
            <w:t>十二 、其他应予说明的事项</w:t>
          </w:r>
          <w:r>
            <w:rPr>
              <w:b/>
              <w:bCs/>
              <w:sz w:val="22"/>
              <w:szCs w:val="20"/>
            </w:rPr>
            <w:tab/>
          </w:r>
          <w:r>
            <w:rPr>
              <w:b/>
              <w:bCs/>
              <w:sz w:val="22"/>
              <w:szCs w:val="20"/>
            </w:rPr>
            <w:fldChar w:fldCharType="begin"/>
          </w:r>
          <w:r>
            <w:rPr>
              <w:b/>
              <w:bCs/>
              <w:sz w:val="22"/>
              <w:szCs w:val="20"/>
            </w:rPr>
            <w:instrText xml:space="preserve"> PAGEREF _Toc23824 \h </w:instrText>
          </w:r>
          <w:r>
            <w:rPr>
              <w:b/>
              <w:bCs/>
              <w:sz w:val="22"/>
              <w:szCs w:val="20"/>
            </w:rPr>
            <w:fldChar w:fldCharType="separate"/>
          </w:r>
          <w:r>
            <w:rPr>
              <w:b/>
              <w:bCs/>
              <w:sz w:val="22"/>
              <w:szCs w:val="20"/>
            </w:rPr>
            <w:t>20</w:t>
          </w:r>
          <w:r>
            <w:rPr>
              <w:b/>
              <w:bCs/>
              <w:sz w:val="22"/>
              <w:szCs w:val="20"/>
            </w:rPr>
            <w:fldChar w:fldCharType="end"/>
          </w:r>
          <w:r>
            <w:rPr>
              <w:b/>
              <w:bCs/>
              <w:sz w:val="22"/>
              <w:szCs w:val="20"/>
            </w:rPr>
            <w:fldChar w:fldCharType="end"/>
          </w:r>
        </w:p>
        <w:p w14:paraId="3519BF82">
          <w:pPr>
            <w:pStyle w:val="11"/>
            <w:keepNext w:val="0"/>
            <w:keepLines w:val="0"/>
            <w:pageBreakBefore w:val="0"/>
            <w:widowControl/>
            <w:tabs>
              <w:tab w:val="right" w:leader="dot" w:pos="9341"/>
            </w:tabs>
            <w:wordWrap/>
            <w:overflowPunct/>
            <w:topLinePunct w:val="0"/>
            <w:bidi w:val="0"/>
            <w:ind w:left="0" w:leftChars="0" w:firstLine="0" w:firstLineChars="0"/>
            <w:rPr>
              <w:sz w:val="22"/>
              <w:szCs w:val="20"/>
            </w:rPr>
          </w:pPr>
          <w:r>
            <w:rPr>
              <w:b/>
              <w:bCs/>
              <w:sz w:val="22"/>
              <w:szCs w:val="20"/>
            </w:rPr>
            <w:fldChar w:fldCharType="begin"/>
          </w:r>
          <w:r>
            <w:rPr>
              <w:b/>
              <w:bCs/>
              <w:sz w:val="22"/>
              <w:szCs w:val="20"/>
            </w:rPr>
            <w:instrText xml:space="preserve"> HYPERLINK \l _Toc15104 </w:instrText>
          </w:r>
          <w:r>
            <w:rPr>
              <w:b/>
              <w:bCs/>
              <w:sz w:val="22"/>
              <w:szCs w:val="20"/>
            </w:rPr>
            <w:fldChar w:fldCharType="separate"/>
          </w:r>
          <w:r>
            <w:rPr>
              <w:rFonts w:hint="eastAsia"/>
              <w:b/>
              <w:bCs/>
              <w:sz w:val="22"/>
              <w:szCs w:val="20"/>
            </w:rPr>
            <w:t>十三 、主要参考文献</w:t>
          </w:r>
          <w:r>
            <w:rPr>
              <w:b/>
              <w:bCs/>
              <w:sz w:val="22"/>
              <w:szCs w:val="20"/>
            </w:rPr>
            <w:tab/>
          </w:r>
          <w:r>
            <w:rPr>
              <w:b/>
              <w:bCs/>
              <w:sz w:val="22"/>
              <w:szCs w:val="20"/>
            </w:rPr>
            <w:fldChar w:fldCharType="begin"/>
          </w:r>
          <w:r>
            <w:rPr>
              <w:b/>
              <w:bCs/>
              <w:sz w:val="22"/>
              <w:szCs w:val="20"/>
            </w:rPr>
            <w:instrText xml:space="preserve"> PAGEREF _Toc15104 \h </w:instrText>
          </w:r>
          <w:r>
            <w:rPr>
              <w:b/>
              <w:bCs/>
              <w:sz w:val="22"/>
              <w:szCs w:val="20"/>
            </w:rPr>
            <w:fldChar w:fldCharType="separate"/>
          </w:r>
          <w:r>
            <w:rPr>
              <w:b/>
              <w:bCs/>
              <w:sz w:val="22"/>
              <w:szCs w:val="20"/>
            </w:rPr>
            <w:t>20</w:t>
          </w:r>
          <w:r>
            <w:rPr>
              <w:b/>
              <w:bCs/>
              <w:sz w:val="22"/>
              <w:szCs w:val="20"/>
            </w:rPr>
            <w:fldChar w:fldCharType="end"/>
          </w:r>
          <w:r>
            <w:rPr>
              <w:b/>
              <w:bCs/>
              <w:sz w:val="22"/>
              <w:szCs w:val="20"/>
            </w:rPr>
            <w:fldChar w:fldCharType="end"/>
          </w:r>
        </w:p>
        <w:p w14:paraId="74B2271D">
          <w:pPr>
            <w:keepNext w:val="0"/>
            <w:keepLines w:val="0"/>
            <w:pageBreakBefore w:val="0"/>
            <w:widowControl/>
            <w:wordWrap/>
            <w:overflowPunct/>
            <w:topLinePunct w:val="0"/>
            <w:bidi w:val="0"/>
            <w:ind w:left="0" w:leftChars="0" w:firstLine="0" w:firstLineChars="0"/>
          </w:pPr>
          <w:r>
            <w:rPr>
              <w:sz w:val="18"/>
              <w:szCs w:val="18"/>
            </w:rPr>
            <w:fldChar w:fldCharType="end"/>
          </w:r>
        </w:p>
        <w:p w14:paraId="700DA2E0">
          <w:pPr>
            <w:pStyle w:val="2"/>
            <w:rPr>
              <w:rFonts w:ascii="Times New Roman" w:hAnsi="Times New Roman" w:eastAsia="宋体" w:cs="Arial"/>
              <w:snapToGrid w:val="0"/>
              <w:color w:val="000000"/>
              <w:kern w:val="0"/>
              <w:sz w:val="24"/>
              <w:szCs w:val="21"/>
              <w:lang w:val="en-US" w:eastAsia="en-US" w:bidi="ar-SA"/>
            </w:rPr>
          </w:pPr>
        </w:p>
      </w:sdtContent>
    </w:sdt>
    <w:p w14:paraId="300F8B04">
      <w:pPr>
        <w:pStyle w:val="2"/>
        <w:rPr>
          <w:rFonts w:ascii="Times New Roman" w:hAnsi="Times New Roman" w:eastAsia="宋体" w:cs="Arial"/>
          <w:snapToGrid w:val="0"/>
          <w:color w:val="000000"/>
          <w:kern w:val="0"/>
          <w:sz w:val="24"/>
          <w:szCs w:val="21"/>
          <w:lang w:val="en-US" w:eastAsia="en-US" w:bidi="ar-SA"/>
        </w:rPr>
        <w:sectPr>
          <w:pgSz w:w="11906" w:h="16839"/>
          <w:pgMar w:top="1250" w:right="1143" w:bottom="0" w:left="1422" w:header="0" w:footer="0" w:gutter="0"/>
          <w:cols w:space="720" w:num="1"/>
        </w:sectPr>
      </w:pPr>
      <w:bookmarkStart w:id="52" w:name="_GoBack"/>
      <w:bookmarkEnd w:id="52"/>
    </w:p>
    <w:p w14:paraId="3A561BC5">
      <w:pPr>
        <w:pStyle w:val="3"/>
        <w:bidi w:val="0"/>
        <w:rPr>
          <w:rFonts w:hint="eastAsia" w:ascii="宋体" w:hAnsi="宋体" w:eastAsia="宋体" w:cs="宋体"/>
        </w:rPr>
      </w:pPr>
      <w:bookmarkStart w:id="0" w:name="_Toc15530"/>
      <w:bookmarkStart w:id="1" w:name="_Toc21963"/>
      <w:r>
        <w:rPr>
          <w:rFonts w:hint="eastAsia"/>
        </w:rPr>
        <w:t>一</w:t>
      </w:r>
      <w:r>
        <w:rPr>
          <w:rFonts w:hint="eastAsia"/>
          <w:lang w:eastAsia="zh-CN"/>
        </w:rPr>
        <w:t>、</w:t>
      </w:r>
      <w:r>
        <w:rPr>
          <w:rFonts w:hint="eastAsia"/>
        </w:rPr>
        <w:t>工作简况</w:t>
      </w:r>
      <w:bookmarkEnd w:id="0"/>
      <w:bookmarkEnd w:id="1"/>
    </w:p>
    <w:p w14:paraId="1B6929EE">
      <w:pPr>
        <w:pStyle w:val="4"/>
        <w:bidi w:val="0"/>
        <w:rPr>
          <w:rFonts w:hint="eastAsia"/>
        </w:rPr>
      </w:pPr>
      <w:bookmarkStart w:id="2" w:name="bookmark27"/>
      <w:bookmarkEnd w:id="2"/>
      <w:bookmarkStart w:id="3" w:name="_Toc10378"/>
      <w:bookmarkStart w:id="4" w:name="_Toc7304"/>
      <w:r>
        <w:rPr>
          <w:rFonts w:hint="eastAsia"/>
        </w:rPr>
        <w:t>（一）任务来源</w:t>
      </w:r>
      <w:bookmarkEnd w:id="3"/>
      <w:bookmarkEnd w:id="4"/>
    </w:p>
    <w:p w14:paraId="69275D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imes New Roman" w:hAnsi="Times New Roman" w:eastAsia="宋体" w:cs="宋体"/>
          <w:sz w:val="24"/>
          <w:szCs w:val="24"/>
        </w:rPr>
      </w:pPr>
      <w:r>
        <w:rPr>
          <w:rFonts w:hint="eastAsia" w:ascii="Times New Roman" w:hAnsi="Times New Roman" w:eastAsia="宋体" w:cs="宋体"/>
          <w:spacing w:val="-2"/>
          <w:sz w:val="24"/>
          <w:szCs w:val="24"/>
        </w:rPr>
        <w:t>202</w:t>
      </w:r>
      <w:r>
        <w:rPr>
          <w:rFonts w:hint="eastAsia" w:ascii="Times New Roman" w:hAnsi="Times New Roman" w:eastAsia="宋体" w:cs="宋体"/>
          <w:spacing w:val="-2"/>
          <w:sz w:val="24"/>
          <w:szCs w:val="24"/>
          <w:lang w:val="en-US" w:eastAsia="zh-CN"/>
        </w:rPr>
        <w:t>6</w:t>
      </w:r>
      <w:r>
        <w:rPr>
          <w:rFonts w:hint="eastAsia" w:ascii="Times New Roman" w:hAnsi="Times New Roman" w:eastAsia="宋体" w:cs="宋体"/>
          <w:spacing w:val="-2"/>
          <w:sz w:val="24"/>
          <w:szCs w:val="24"/>
        </w:rPr>
        <w:t>年</w:t>
      </w:r>
      <w:r>
        <w:rPr>
          <w:rFonts w:hint="eastAsia" w:ascii="Times New Roman" w:hAnsi="Times New Roman" w:eastAsia="宋体" w:cs="宋体"/>
          <w:spacing w:val="-2"/>
          <w:sz w:val="24"/>
          <w:szCs w:val="24"/>
          <w:lang w:val="en-US" w:eastAsia="zh-CN"/>
        </w:rPr>
        <w:t>4</w:t>
      </w:r>
      <w:r>
        <w:rPr>
          <w:rFonts w:hint="eastAsia" w:ascii="Times New Roman" w:hAnsi="Times New Roman" w:eastAsia="宋体" w:cs="宋体"/>
          <w:spacing w:val="-2"/>
          <w:sz w:val="24"/>
          <w:szCs w:val="24"/>
        </w:rPr>
        <w:t>月</w:t>
      </w:r>
      <w:r>
        <w:rPr>
          <w:rFonts w:hint="eastAsia" w:cs="宋体"/>
          <w:spacing w:val="-2"/>
          <w:sz w:val="24"/>
          <w:szCs w:val="24"/>
          <w:lang w:eastAsia="zh-CN"/>
        </w:rPr>
        <w:t>，</w:t>
      </w:r>
      <w:r>
        <w:rPr>
          <w:rFonts w:hint="eastAsia" w:ascii="Times New Roman" w:hAnsi="Times New Roman" w:eastAsia="宋体" w:cs="宋体"/>
          <w:spacing w:val="-2"/>
          <w:sz w:val="24"/>
          <w:szCs w:val="24"/>
        </w:rPr>
        <w:t>中国地理学会下达了</w:t>
      </w:r>
      <w:r>
        <w:rPr>
          <w:rFonts w:hint="eastAsia" w:ascii="Times New Roman" w:hAnsi="Times New Roman" w:eastAsia="宋体" w:cs="宋体"/>
          <w:spacing w:val="-3"/>
          <w:sz w:val="24"/>
          <w:szCs w:val="24"/>
        </w:rPr>
        <w:t>202</w:t>
      </w:r>
      <w:r>
        <w:rPr>
          <w:rFonts w:hint="eastAsia" w:ascii="Times New Roman" w:hAnsi="Times New Roman" w:cs="宋体"/>
          <w:spacing w:val="-3"/>
          <w:sz w:val="24"/>
          <w:szCs w:val="24"/>
          <w:lang w:val="en-US" w:eastAsia="zh-CN"/>
        </w:rPr>
        <w:t>6</w:t>
      </w:r>
      <w:r>
        <w:rPr>
          <w:rFonts w:hint="eastAsia" w:ascii="Times New Roman" w:hAnsi="Times New Roman" w:eastAsia="宋体" w:cs="宋体"/>
          <w:spacing w:val="-3"/>
          <w:sz w:val="24"/>
          <w:szCs w:val="24"/>
        </w:rPr>
        <w:t>年团体标准立项通知</w:t>
      </w:r>
      <w:r>
        <w:rPr>
          <w:rFonts w:hint="eastAsia" w:cs="宋体"/>
          <w:spacing w:val="-3"/>
          <w:sz w:val="24"/>
          <w:szCs w:val="24"/>
          <w:lang w:eastAsia="zh-CN"/>
        </w:rPr>
        <w:t>（</w:t>
      </w:r>
      <w:r>
        <w:rPr>
          <w:rFonts w:hint="eastAsia" w:ascii="Times New Roman" w:hAnsi="Times New Roman" w:eastAsia="宋体" w:cs="宋体"/>
          <w:spacing w:val="-3"/>
          <w:sz w:val="24"/>
          <w:szCs w:val="24"/>
        </w:rPr>
        <w:t>地理</w:t>
      </w:r>
      <w:r>
        <w:rPr>
          <w:rFonts w:hint="eastAsia" w:ascii="Times New Roman" w:hAnsi="Times New Roman" w:eastAsia="宋体" w:cs="宋体"/>
          <w:spacing w:val="-1"/>
          <w:sz w:val="24"/>
          <w:szCs w:val="24"/>
        </w:rPr>
        <w:t>会发字（202</w:t>
      </w:r>
      <w:r>
        <w:rPr>
          <w:rFonts w:hint="eastAsia" w:cs="宋体"/>
          <w:spacing w:val="-1"/>
          <w:sz w:val="24"/>
          <w:szCs w:val="24"/>
          <w:lang w:val="en-US" w:eastAsia="zh-CN"/>
        </w:rPr>
        <w:t>6</w:t>
      </w:r>
      <w:r>
        <w:rPr>
          <w:rFonts w:hint="eastAsia" w:ascii="Times New Roman" w:hAnsi="Times New Roman" w:eastAsia="宋体" w:cs="宋体"/>
          <w:spacing w:val="-1"/>
          <w:sz w:val="24"/>
          <w:szCs w:val="24"/>
        </w:rPr>
        <w:t>）</w:t>
      </w:r>
      <w:r>
        <w:rPr>
          <w:rFonts w:hint="eastAsia" w:cs="宋体"/>
          <w:spacing w:val="-26"/>
          <w:sz w:val="24"/>
          <w:szCs w:val="24"/>
          <w:lang w:val="en-US" w:eastAsia="zh-CN"/>
        </w:rPr>
        <w:t>05</w:t>
      </w:r>
      <w:r>
        <w:rPr>
          <w:rFonts w:hint="eastAsia" w:ascii="Times New Roman" w:hAnsi="Times New Roman" w:eastAsia="宋体" w:cs="宋体"/>
          <w:spacing w:val="-1"/>
          <w:sz w:val="24"/>
          <w:szCs w:val="24"/>
        </w:rPr>
        <w:t>号</w:t>
      </w:r>
      <w:r>
        <w:rPr>
          <w:rFonts w:hint="eastAsia" w:cs="宋体"/>
          <w:spacing w:val="-53"/>
          <w:w w:val="93"/>
          <w:sz w:val="24"/>
          <w:szCs w:val="24"/>
          <w:lang w:eastAsia="zh-CN"/>
        </w:rPr>
        <w:t>）</w:t>
      </w:r>
      <w:r>
        <w:rPr>
          <w:rFonts w:hint="eastAsia" w:ascii="Times New Roman" w:hAnsi="Times New Roman" w:eastAsia="宋体" w:cs="宋体"/>
          <w:spacing w:val="-53"/>
          <w:w w:val="93"/>
          <w:sz w:val="24"/>
          <w:szCs w:val="24"/>
        </w:rPr>
        <w:t>，</w:t>
      </w:r>
      <w:r>
        <w:rPr>
          <w:rFonts w:hint="eastAsia" w:ascii="Times New Roman" w:hAnsi="Times New Roman" w:eastAsia="宋体" w:cs="宋体"/>
          <w:spacing w:val="-42"/>
          <w:sz w:val="24"/>
          <w:szCs w:val="24"/>
        </w:rPr>
        <w:t xml:space="preserve"> </w:t>
      </w:r>
      <w:r>
        <w:rPr>
          <w:rFonts w:hint="eastAsia" w:ascii="Times New Roman" w:hAnsi="Times New Roman" w:eastAsia="宋体" w:cs="宋体"/>
          <w:spacing w:val="-1"/>
          <w:sz w:val="24"/>
          <w:szCs w:val="24"/>
        </w:rPr>
        <w:t>批准了《</w:t>
      </w:r>
      <w:r>
        <w:rPr>
          <w:rFonts w:hint="eastAsia" w:cs="宋体"/>
          <w:spacing w:val="-1"/>
          <w:sz w:val="24"/>
          <w:szCs w:val="24"/>
          <w:lang w:val="en-US" w:eastAsia="zh-CN"/>
        </w:rPr>
        <w:t>地标生境 吉林磐石千塘稻永久基本农田案例</w:t>
      </w:r>
      <w:r>
        <w:rPr>
          <w:rFonts w:hint="eastAsia" w:ascii="Times New Roman" w:hAnsi="Times New Roman" w:eastAsia="宋体" w:cs="宋体"/>
          <w:spacing w:val="-1"/>
          <w:sz w:val="24"/>
          <w:szCs w:val="24"/>
        </w:rPr>
        <w:t>》团体标准编制项目，计划标准编号为 T/ZGDLXH JH-00</w:t>
      </w:r>
      <w:r>
        <w:rPr>
          <w:rFonts w:hint="eastAsia" w:cs="宋体"/>
          <w:spacing w:val="-1"/>
          <w:sz w:val="24"/>
          <w:szCs w:val="24"/>
          <w:lang w:val="en-US" w:eastAsia="zh-CN"/>
        </w:rPr>
        <w:t>9</w:t>
      </w:r>
      <w:r>
        <w:rPr>
          <w:rFonts w:hint="eastAsia" w:ascii="Times New Roman" w:hAnsi="Times New Roman" w:eastAsia="宋体" w:cs="宋体"/>
          <w:spacing w:val="-1"/>
          <w:sz w:val="24"/>
          <w:szCs w:val="24"/>
        </w:rPr>
        <w:t>-202</w:t>
      </w:r>
      <w:r>
        <w:rPr>
          <w:rFonts w:hint="eastAsia" w:cs="宋体"/>
          <w:spacing w:val="-1"/>
          <w:sz w:val="24"/>
          <w:szCs w:val="24"/>
          <w:lang w:val="en-US" w:eastAsia="zh-CN"/>
        </w:rPr>
        <w:t>5</w:t>
      </w:r>
      <w:r>
        <w:rPr>
          <w:rFonts w:hint="eastAsia" w:ascii="Times New Roman" w:hAnsi="Times New Roman" w:eastAsia="宋体" w:cs="宋体"/>
          <w:spacing w:val="-1"/>
          <w:sz w:val="24"/>
          <w:szCs w:val="24"/>
        </w:rPr>
        <w:t>，正式</w:t>
      </w:r>
      <w:r>
        <w:rPr>
          <w:rFonts w:hint="eastAsia" w:ascii="Times New Roman" w:hAnsi="Times New Roman" w:eastAsia="宋体" w:cs="宋体"/>
          <w:spacing w:val="-2"/>
          <w:sz w:val="24"/>
          <w:szCs w:val="24"/>
        </w:rPr>
        <w:t>委托中国科学院</w:t>
      </w:r>
      <w:r>
        <w:rPr>
          <w:rFonts w:hint="eastAsia" w:cs="宋体"/>
          <w:spacing w:val="-2"/>
          <w:sz w:val="24"/>
          <w:szCs w:val="24"/>
          <w:lang w:val="en-US" w:eastAsia="zh-CN"/>
        </w:rPr>
        <w:t>地理科学与资源</w:t>
      </w:r>
      <w:r>
        <w:rPr>
          <w:rFonts w:hint="eastAsia" w:ascii="Times New Roman" w:hAnsi="Times New Roman" w:eastAsia="宋体" w:cs="宋体"/>
          <w:spacing w:val="-2"/>
          <w:sz w:val="24"/>
          <w:szCs w:val="24"/>
        </w:rPr>
        <w:t>研究所</w:t>
      </w:r>
      <w:r>
        <w:rPr>
          <w:rFonts w:hint="eastAsia" w:ascii="Times New Roman" w:hAnsi="Times New Roman" w:eastAsia="宋体" w:cs="宋体"/>
          <w:spacing w:val="-1"/>
          <w:sz w:val="24"/>
          <w:szCs w:val="24"/>
        </w:rPr>
        <w:t>牵头完成本标准的编制工作。</w:t>
      </w:r>
    </w:p>
    <w:p w14:paraId="27DEC5E8">
      <w:pPr>
        <w:pStyle w:val="4"/>
        <w:bidi w:val="0"/>
        <w:rPr>
          <w:rFonts w:hint="eastAsia"/>
        </w:rPr>
      </w:pPr>
      <w:bookmarkStart w:id="5" w:name="_Toc4607"/>
      <w:bookmarkStart w:id="6" w:name="_Toc1269"/>
      <w:r>
        <w:rPr>
          <w:rFonts w:hint="eastAsia"/>
        </w:rPr>
        <w:t>（二）经费说明</w:t>
      </w:r>
      <w:bookmarkEnd w:id="5"/>
      <w:bookmarkEnd w:id="6"/>
    </w:p>
    <w:p w14:paraId="43AACABD">
      <w:pPr>
        <w:bidi w:val="0"/>
        <w:rPr>
          <w:rFonts w:hint="eastAsia"/>
        </w:rPr>
      </w:pPr>
      <w:r>
        <w:rPr>
          <w:rFonts w:hint="eastAsia"/>
          <w:color w:val="auto"/>
          <w:lang w:val="en-US" w:eastAsia="zh-CN"/>
        </w:rPr>
        <w:t>经费总计 17 万元，具体分配如下：材料费 0.8 万元（标准及相关资料查询和购置）、会议费 1.4 万元（召开标准研讨会）、劳务费 8.1 万元（参与标准撰写劳务费）、差旅费 2.8 万元、专家咨询费 1.5 万元、公告费 0.4 万元、印刷费 0.8万元（相关文本的打印等费用）、宣传推广费 1.2 万元。</w:t>
      </w:r>
    </w:p>
    <w:p w14:paraId="1E0787FC">
      <w:pPr>
        <w:pStyle w:val="4"/>
        <w:bidi w:val="0"/>
        <w:rPr>
          <w:rFonts w:hint="eastAsia"/>
        </w:rPr>
      </w:pPr>
      <w:bookmarkStart w:id="7" w:name="_Toc22485"/>
      <w:bookmarkStart w:id="8" w:name="_Toc10995"/>
      <w:r>
        <w:rPr>
          <w:rFonts w:hint="eastAsia"/>
        </w:rPr>
        <w:t>（三）  起草单位及编制组成员</w:t>
      </w:r>
      <w:bookmarkEnd w:id="7"/>
      <w:bookmarkEnd w:id="8"/>
    </w:p>
    <w:p w14:paraId="10F8766A">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rPr>
        <w:t>本标准编制工作在中国地理学会和</w:t>
      </w:r>
      <w:r>
        <w:rPr>
          <w:rFonts w:hint="eastAsia"/>
          <w:lang w:val="en-US" w:eastAsia="zh-CN"/>
        </w:rPr>
        <w:t>中国科学院地理科学与资源研究所</w:t>
      </w:r>
      <w:r>
        <w:rPr>
          <w:rFonts w:hint="eastAsia"/>
        </w:rPr>
        <w:t>的共同指导下，由</w:t>
      </w:r>
      <w:r>
        <w:rPr>
          <w:rFonts w:hint="eastAsia"/>
          <w:lang w:val="en-US" w:eastAsia="zh-CN"/>
        </w:rPr>
        <w:t>5</w:t>
      </w:r>
      <w:r>
        <w:rPr>
          <w:rFonts w:hint="eastAsia"/>
        </w:rPr>
        <w:t>家单位</w:t>
      </w:r>
      <w:r>
        <w:rPr>
          <w:rFonts w:hint="eastAsia"/>
          <w:lang w:val="en-US" w:eastAsia="zh-CN"/>
        </w:rPr>
        <w:t>和企业</w:t>
      </w:r>
      <w:r>
        <w:rPr>
          <w:rFonts w:hint="eastAsia"/>
        </w:rPr>
        <w:t>共同承担完成。起草单位</w:t>
      </w:r>
      <w:r>
        <w:rPr>
          <w:rFonts w:hint="eastAsia"/>
          <w:lang w:val="en-US" w:eastAsia="zh-CN"/>
        </w:rPr>
        <w:t>和企业</w:t>
      </w:r>
      <w:r>
        <w:rPr>
          <w:rFonts w:hint="eastAsia"/>
        </w:rPr>
        <w:t>充分考虑了行业代表性、</w:t>
      </w:r>
      <w:r>
        <w:rPr>
          <w:rFonts w:hint="eastAsia"/>
          <w:lang w:val="en-US" w:eastAsia="zh-CN"/>
        </w:rPr>
        <w:t>技术</w:t>
      </w:r>
      <w:r>
        <w:rPr>
          <w:rFonts w:hint="eastAsia"/>
        </w:rPr>
        <w:t>代表性和地域代表性等多重因素</w:t>
      </w:r>
      <w:r>
        <w:rPr>
          <w:rFonts w:hint="eastAsia"/>
          <w:lang w:eastAsia="zh-CN"/>
        </w:rPr>
        <w:t>，</w:t>
      </w:r>
      <w:r>
        <w:rPr>
          <w:rFonts w:hint="eastAsia"/>
        </w:rPr>
        <w:t>涵盖了国内地理科学领域的顶尖科研机构、</w:t>
      </w:r>
      <w:r>
        <w:rPr>
          <w:rFonts w:hint="eastAsia"/>
          <w:lang w:val="en-US" w:eastAsia="zh-CN"/>
        </w:rPr>
        <w:t>地方政府和当地龙头企业</w:t>
      </w:r>
      <w:r>
        <w:rPr>
          <w:rFonts w:hint="eastAsia"/>
          <w:lang w:eastAsia="zh-CN"/>
        </w:rPr>
        <w:t>，从理论科研支撑、政策支持、技术落地</w:t>
      </w:r>
      <w:r>
        <w:rPr>
          <w:rFonts w:hint="eastAsia"/>
          <w:lang w:val="en-US" w:eastAsia="zh-CN"/>
        </w:rPr>
        <w:t>到</w:t>
      </w:r>
      <w:r>
        <w:rPr>
          <w:rFonts w:hint="eastAsia"/>
          <w:lang w:eastAsia="zh-CN"/>
        </w:rPr>
        <w:t>标准示范等多环节已开展大量扎实的前期工作，为本项目的顺利推进奠定了坚实基础。</w:t>
      </w:r>
    </w:p>
    <w:p w14:paraId="5BF77027">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编制组由</w:t>
      </w:r>
      <w:r>
        <w:rPr>
          <w:rFonts w:hint="eastAsia"/>
          <w:lang w:val="en-US" w:eastAsia="zh-CN"/>
        </w:rPr>
        <w:t>11</w:t>
      </w:r>
      <w:r>
        <w:rPr>
          <w:rFonts w:hint="eastAsia"/>
        </w:rPr>
        <w:t>位专家学者</w:t>
      </w:r>
      <w:r>
        <w:rPr>
          <w:rFonts w:hint="eastAsia"/>
          <w:lang w:val="en-US" w:eastAsia="zh-CN"/>
        </w:rPr>
        <w:t>与工作人员</w:t>
      </w:r>
      <w:r>
        <w:rPr>
          <w:rFonts w:hint="eastAsia"/>
        </w:rPr>
        <w:t>组成，起草单位及编制组成员具体名单如下：</w:t>
      </w:r>
    </w:p>
    <w:p w14:paraId="3888EAFA">
      <w:pPr>
        <w:pStyle w:val="2"/>
        <w:rPr>
          <w:rFonts w:hint="eastAsia"/>
        </w:rPr>
      </w:pPr>
      <w:r>
        <w:rPr>
          <w:rFonts w:hint="eastAsia"/>
          <w:b/>
          <w:bCs/>
        </w:rPr>
        <w:t>中国科学院地理科学与资源研究所：</w:t>
      </w:r>
      <w:r>
        <w:rPr>
          <w:rFonts w:hint="eastAsia"/>
        </w:rPr>
        <w:t>宋献方、杨丽虎、王泽晖</w:t>
      </w:r>
      <w:r>
        <w:rPr>
          <w:rFonts w:hint="eastAsia"/>
          <w:lang w:eastAsia="zh-CN"/>
        </w:rPr>
        <w:t>、</w:t>
      </w:r>
      <w:r>
        <w:rPr>
          <w:rFonts w:hint="eastAsia"/>
        </w:rPr>
        <w:t>姚东绪、魏梦凡</w:t>
      </w:r>
    </w:p>
    <w:p w14:paraId="3DAD3105">
      <w:pPr>
        <w:pStyle w:val="2"/>
        <w:rPr>
          <w:rFonts w:hint="eastAsia"/>
        </w:rPr>
      </w:pPr>
      <w:r>
        <w:rPr>
          <w:rFonts w:hint="eastAsia"/>
          <w:b/>
          <w:bCs/>
        </w:rPr>
        <w:t>磐石市农业农村局：</w:t>
      </w:r>
      <w:r>
        <w:rPr>
          <w:rFonts w:hint="eastAsia"/>
        </w:rPr>
        <w:t>石敬臣、任建行</w:t>
      </w:r>
    </w:p>
    <w:p w14:paraId="0CBF31DE">
      <w:pPr>
        <w:pStyle w:val="2"/>
        <w:rPr>
          <w:rFonts w:hint="eastAsia"/>
        </w:rPr>
      </w:pPr>
      <w:r>
        <w:rPr>
          <w:rFonts w:hint="eastAsia"/>
          <w:b/>
          <w:bCs/>
        </w:rPr>
        <w:t>磐石市农业农村局农产品监测站：</w:t>
      </w:r>
      <w:r>
        <w:rPr>
          <w:rFonts w:hint="eastAsia"/>
        </w:rPr>
        <w:t>管俊</w:t>
      </w:r>
    </w:p>
    <w:p w14:paraId="09B92DFE">
      <w:pPr>
        <w:pStyle w:val="2"/>
        <w:rPr>
          <w:rFonts w:hint="eastAsia"/>
        </w:rPr>
      </w:pPr>
      <w:r>
        <w:rPr>
          <w:rFonts w:hint="eastAsia"/>
          <w:b/>
          <w:bCs/>
        </w:rPr>
        <w:t>磐石市农业农村局农业总站：</w:t>
      </w:r>
      <w:r>
        <w:rPr>
          <w:rFonts w:hint="eastAsia"/>
        </w:rPr>
        <w:t>杨锡财、徐有春</w:t>
      </w:r>
    </w:p>
    <w:p w14:paraId="56741272">
      <w:pPr>
        <w:bidi w:val="0"/>
        <w:rPr>
          <w:rFonts w:hint="eastAsia"/>
        </w:rPr>
      </w:pPr>
      <w:r>
        <w:rPr>
          <w:rFonts w:hint="eastAsia"/>
          <w:b/>
          <w:bCs/>
        </w:rPr>
        <w:t>吉林省绿舍村谷物种植有限公司</w:t>
      </w:r>
      <w:r>
        <w:rPr>
          <w:rFonts w:hint="eastAsia"/>
        </w:rPr>
        <w:t>：王远洋</w:t>
      </w:r>
    </w:p>
    <w:p w14:paraId="48EBEF73">
      <w:pPr>
        <w:pStyle w:val="2"/>
        <w:rPr>
          <w:rFonts w:hint="eastAsia" w:eastAsia="宋体"/>
          <w:lang w:val="en-US" w:eastAsia="zh-CN"/>
        </w:rPr>
      </w:pPr>
      <w:r>
        <w:rPr>
          <w:rFonts w:hint="eastAsia"/>
          <w:lang w:val="en-US" w:eastAsia="zh-CN"/>
        </w:rPr>
        <w:t>具体分工如下：</w:t>
      </w:r>
    </w:p>
    <w:p w14:paraId="5C89BF44">
      <w:pPr>
        <w:pStyle w:val="2"/>
        <w:rPr>
          <w:rFonts w:hint="eastAsia"/>
        </w:rPr>
      </w:pPr>
      <w:r>
        <w:rPr>
          <w:rFonts w:hint="eastAsia"/>
        </w:rPr>
        <w:t>1.标准总体设计与协调</w:t>
      </w:r>
    </w:p>
    <w:p w14:paraId="46102FC7">
      <w:pPr>
        <w:pStyle w:val="2"/>
        <w:rPr>
          <w:rFonts w:hint="eastAsia"/>
        </w:rPr>
      </w:pPr>
      <w:r>
        <w:rPr>
          <w:rFonts w:hint="eastAsia"/>
        </w:rPr>
        <w:t>负责标准总体框架设计、技术路线确定、组织协调、编制过程管理及专家意见汇总。</w:t>
      </w:r>
    </w:p>
    <w:p w14:paraId="714D3DA1">
      <w:pPr>
        <w:pStyle w:val="2"/>
        <w:rPr>
          <w:rFonts w:hint="eastAsia"/>
        </w:rPr>
      </w:pPr>
      <w:r>
        <w:rPr>
          <w:rFonts w:hint="eastAsia"/>
        </w:rPr>
        <w:t>负责人：</w:t>
      </w:r>
    </w:p>
    <w:p w14:paraId="19BF2BAA">
      <w:pPr>
        <w:pStyle w:val="2"/>
        <w:rPr>
          <w:rFonts w:hint="eastAsia"/>
        </w:rPr>
      </w:pPr>
      <w:r>
        <w:rPr>
          <w:rFonts w:hint="eastAsia"/>
        </w:rPr>
        <w:t>中国科学院地理科学与资源研究所：宋献方、杨丽虎、姚东绪、魏梦凡、王泽晖</w:t>
      </w:r>
    </w:p>
    <w:p w14:paraId="76166951">
      <w:pPr>
        <w:pStyle w:val="2"/>
        <w:rPr>
          <w:rFonts w:hint="eastAsia"/>
        </w:rPr>
      </w:pPr>
      <w:r>
        <w:rPr>
          <w:rFonts w:hint="eastAsia"/>
        </w:rPr>
        <w:t>磐石市农业农村局：石敬臣、任建行</w:t>
      </w:r>
    </w:p>
    <w:p w14:paraId="45AEE572">
      <w:pPr>
        <w:pStyle w:val="2"/>
        <w:rPr>
          <w:rFonts w:hint="eastAsia"/>
        </w:rPr>
      </w:pPr>
      <w:r>
        <w:rPr>
          <w:rFonts w:hint="eastAsia"/>
        </w:rPr>
        <w:t>2.农田生态系统调查</w:t>
      </w:r>
    </w:p>
    <w:p w14:paraId="622FFCDD">
      <w:pPr>
        <w:pStyle w:val="2"/>
        <w:rPr>
          <w:rFonts w:hint="eastAsia"/>
        </w:rPr>
      </w:pPr>
      <w:r>
        <w:rPr>
          <w:rFonts w:hint="eastAsia"/>
        </w:rPr>
        <w:t>负责磐石千塘稻永久基本农田生态系统调查，重点开展区域自然环境、土地利用、农业景观格局、水田—塘坝—湿地复合生态系统特征分析。</w:t>
      </w:r>
    </w:p>
    <w:p w14:paraId="2DEBAD61">
      <w:pPr>
        <w:pStyle w:val="2"/>
        <w:rPr>
          <w:rFonts w:hint="eastAsia"/>
        </w:rPr>
      </w:pPr>
      <w:r>
        <w:rPr>
          <w:rFonts w:hint="eastAsia"/>
        </w:rPr>
        <w:t>负责人：</w:t>
      </w:r>
    </w:p>
    <w:p w14:paraId="63667628">
      <w:pPr>
        <w:pStyle w:val="2"/>
        <w:rPr>
          <w:rFonts w:hint="eastAsia"/>
        </w:rPr>
      </w:pPr>
      <w:r>
        <w:rPr>
          <w:rFonts w:hint="eastAsia"/>
        </w:rPr>
        <w:t>中国科学院地理科学与资源研究所：姚东绪、魏梦凡</w:t>
      </w:r>
    </w:p>
    <w:p w14:paraId="2B8BC3CA">
      <w:pPr>
        <w:pStyle w:val="2"/>
        <w:rPr>
          <w:rFonts w:hint="eastAsia"/>
        </w:rPr>
      </w:pPr>
      <w:r>
        <w:rPr>
          <w:rFonts w:hint="eastAsia"/>
        </w:rPr>
        <w:t>磐石市农业农村局农业总站：杨锡财、徐有春</w:t>
      </w:r>
    </w:p>
    <w:p w14:paraId="099D9CBC">
      <w:pPr>
        <w:pStyle w:val="2"/>
        <w:rPr>
          <w:rFonts w:hint="eastAsia"/>
        </w:rPr>
      </w:pPr>
      <w:r>
        <w:rPr>
          <w:rFonts w:hint="eastAsia"/>
        </w:rPr>
        <w:t>3.水土环境监测</w:t>
      </w:r>
    </w:p>
    <w:p w14:paraId="7DAD1B06">
      <w:pPr>
        <w:pStyle w:val="2"/>
        <w:rPr>
          <w:rFonts w:hint="eastAsia"/>
        </w:rPr>
      </w:pPr>
      <w:r>
        <w:rPr>
          <w:rFonts w:hint="eastAsia"/>
        </w:rPr>
        <w:t>负责水稻生长环境监测数据整理与分析，开展土壤、水质、气象、生物环境等指标调查，为地标生境评价指标体系构建提供数据支撑。</w:t>
      </w:r>
    </w:p>
    <w:p w14:paraId="0987EF80">
      <w:pPr>
        <w:pStyle w:val="2"/>
        <w:rPr>
          <w:rFonts w:hint="eastAsia"/>
        </w:rPr>
      </w:pPr>
      <w:r>
        <w:rPr>
          <w:rFonts w:hint="eastAsia"/>
        </w:rPr>
        <w:t>负责人：</w:t>
      </w:r>
    </w:p>
    <w:p w14:paraId="4C356844">
      <w:pPr>
        <w:pStyle w:val="2"/>
        <w:rPr>
          <w:rFonts w:hint="eastAsia"/>
        </w:rPr>
      </w:pPr>
      <w:r>
        <w:rPr>
          <w:rFonts w:hint="eastAsia"/>
        </w:rPr>
        <w:t>中国科学院地理科学与资源研究所：杨丽虎、姚东绪、魏梦凡、王泽晖</w:t>
      </w:r>
    </w:p>
    <w:p w14:paraId="62A6EADC">
      <w:pPr>
        <w:pStyle w:val="2"/>
        <w:rPr>
          <w:rFonts w:hint="eastAsia"/>
        </w:rPr>
      </w:pPr>
      <w:r>
        <w:rPr>
          <w:rFonts w:hint="eastAsia"/>
        </w:rPr>
        <w:t>磐石市农业农村局农产品监测站：管俊</w:t>
      </w:r>
    </w:p>
    <w:p w14:paraId="77EE4981">
      <w:pPr>
        <w:pStyle w:val="2"/>
        <w:rPr>
          <w:rFonts w:hint="eastAsia"/>
        </w:rPr>
      </w:pPr>
      <w:r>
        <w:rPr>
          <w:rFonts w:hint="eastAsia"/>
        </w:rPr>
        <w:t>4.水稻生产模式研究</w:t>
      </w:r>
    </w:p>
    <w:p w14:paraId="5679BC25">
      <w:pPr>
        <w:pStyle w:val="2"/>
        <w:rPr>
          <w:rFonts w:hint="eastAsia"/>
        </w:rPr>
      </w:pPr>
      <w:r>
        <w:rPr>
          <w:rFonts w:hint="eastAsia"/>
        </w:rPr>
        <w:t>负责千塘稻种植模式、品种选择、田间管理、生态农业模式及生产过程调查，分析农业生产方式与生态环境之间的关系。</w:t>
      </w:r>
    </w:p>
    <w:p w14:paraId="1F99D3DB">
      <w:pPr>
        <w:pStyle w:val="2"/>
        <w:rPr>
          <w:rFonts w:hint="eastAsia"/>
        </w:rPr>
      </w:pPr>
      <w:r>
        <w:rPr>
          <w:rFonts w:hint="eastAsia"/>
        </w:rPr>
        <w:t>负责人：</w:t>
      </w:r>
    </w:p>
    <w:p w14:paraId="77B1B831">
      <w:pPr>
        <w:pStyle w:val="2"/>
        <w:rPr>
          <w:rFonts w:hint="eastAsia"/>
        </w:rPr>
      </w:pPr>
      <w:r>
        <w:rPr>
          <w:rFonts w:hint="eastAsia"/>
        </w:rPr>
        <w:t>中国科学院地理科学与资源研究所：杨丽虎、姚东绪</w:t>
      </w:r>
    </w:p>
    <w:p w14:paraId="5A7BA0AC">
      <w:pPr>
        <w:pStyle w:val="2"/>
        <w:rPr>
          <w:rFonts w:hint="eastAsia"/>
        </w:rPr>
      </w:pPr>
      <w:r>
        <w:rPr>
          <w:rFonts w:hint="eastAsia"/>
        </w:rPr>
        <w:t>磐石市农业农村局农业总站：徐有春</w:t>
      </w:r>
    </w:p>
    <w:p w14:paraId="1D7BB566">
      <w:pPr>
        <w:pStyle w:val="2"/>
        <w:rPr>
          <w:rFonts w:hint="eastAsia"/>
        </w:rPr>
      </w:pPr>
      <w:r>
        <w:rPr>
          <w:rFonts w:hint="eastAsia"/>
        </w:rPr>
        <w:t>吉林省绿舍村谷物种植有限公司：王远洋</w:t>
      </w:r>
    </w:p>
    <w:p w14:paraId="47C2AA2E">
      <w:pPr>
        <w:pStyle w:val="2"/>
        <w:rPr>
          <w:rFonts w:hint="eastAsia"/>
        </w:rPr>
      </w:pPr>
      <w:r>
        <w:rPr>
          <w:rFonts w:hint="eastAsia"/>
        </w:rPr>
        <w:t>5.指标体系构建</w:t>
      </w:r>
    </w:p>
    <w:p w14:paraId="5845AAED">
      <w:pPr>
        <w:pStyle w:val="2"/>
        <w:rPr>
          <w:rFonts w:hint="eastAsia"/>
        </w:rPr>
      </w:pPr>
      <w:r>
        <w:rPr>
          <w:rFonts w:hint="eastAsia"/>
        </w:rPr>
        <w:t>负责地标生境案例评价指标体系设计，结合国内外农业生态系统保护案例，构建涵盖生境条件、生态功能、农业生产和可持续发展的评价体系。</w:t>
      </w:r>
    </w:p>
    <w:p w14:paraId="7DDD0AC0">
      <w:pPr>
        <w:pStyle w:val="2"/>
        <w:rPr>
          <w:rFonts w:hint="eastAsia"/>
        </w:rPr>
      </w:pPr>
      <w:r>
        <w:rPr>
          <w:rFonts w:hint="eastAsia"/>
        </w:rPr>
        <w:t>负责人：</w:t>
      </w:r>
    </w:p>
    <w:p w14:paraId="09079715">
      <w:pPr>
        <w:pStyle w:val="2"/>
        <w:rPr>
          <w:rFonts w:hint="eastAsia"/>
        </w:rPr>
      </w:pPr>
      <w:r>
        <w:rPr>
          <w:rFonts w:hint="eastAsia"/>
        </w:rPr>
        <w:t>中国科学院地理科学与资源研究所：宋献方、杨丽虎、王泽晖</w:t>
      </w:r>
    </w:p>
    <w:p w14:paraId="5839EF6C">
      <w:pPr>
        <w:pStyle w:val="2"/>
        <w:rPr>
          <w:rFonts w:hint="eastAsia"/>
        </w:rPr>
      </w:pPr>
      <w:r>
        <w:rPr>
          <w:rFonts w:hint="eastAsia"/>
        </w:rPr>
        <w:t>6.标准文本编制</w:t>
      </w:r>
    </w:p>
    <w:p w14:paraId="20081717">
      <w:pPr>
        <w:pStyle w:val="2"/>
        <w:rPr>
          <w:rFonts w:hint="eastAsia"/>
        </w:rPr>
      </w:pPr>
      <w:r>
        <w:rPr>
          <w:rFonts w:hint="eastAsia"/>
        </w:rPr>
        <w:t>负责标准文本起草、章节编写、技术内容完善、意见修改及标准格式规范化。</w:t>
      </w:r>
    </w:p>
    <w:p w14:paraId="4FF7F84C">
      <w:pPr>
        <w:pStyle w:val="2"/>
        <w:rPr>
          <w:rFonts w:hint="eastAsia"/>
        </w:rPr>
      </w:pPr>
      <w:r>
        <w:rPr>
          <w:rFonts w:hint="eastAsia"/>
        </w:rPr>
        <w:t>负责人：</w:t>
      </w:r>
    </w:p>
    <w:p w14:paraId="336C4937">
      <w:pPr>
        <w:pStyle w:val="2"/>
        <w:rPr>
          <w:rFonts w:hint="eastAsia"/>
        </w:rPr>
      </w:pPr>
      <w:r>
        <w:rPr>
          <w:rFonts w:hint="eastAsia"/>
        </w:rPr>
        <w:t>中国科学院地理科学与资源研究所：宋献方、杨丽虎、王泽晖</w:t>
      </w:r>
    </w:p>
    <w:p w14:paraId="0CE7EC0D">
      <w:pPr>
        <w:pStyle w:val="2"/>
        <w:rPr>
          <w:rFonts w:hint="eastAsia"/>
        </w:rPr>
      </w:pPr>
      <w:r>
        <w:rPr>
          <w:rFonts w:hint="eastAsia"/>
        </w:rPr>
        <w:t>磐石市农业农村局：石敬臣、任建行</w:t>
      </w:r>
    </w:p>
    <w:p w14:paraId="122FAF82">
      <w:pPr>
        <w:pStyle w:val="4"/>
        <w:bidi w:val="0"/>
        <w:rPr>
          <w:rFonts w:hint="eastAsia" w:ascii="宋体" w:hAnsi="宋体" w:eastAsia="宋体" w:cs="宋体"/>
          <w:szCs w:val="24"/>
        </w:rPr>
      </w:pPr>
      <w:bookmarkStart w:id="9" w:name="_Toc9058"/>
      <w:bookmarkStart w:id="10" w:name="_Toc7064"/>
      <w:r>
        <w:rPr>
          <w:rFonts w:hint="eastAsia"/>
        </w:rPr>
        <w:t>（四）主要工作过程</w:t>
      </w:r>
      <w:bookmarkEnd w:id="9"/>
      <w:bookmarkEnd w:id="10"/>
    </w:p>
    <w:p w14:paraId="12BAD9C4">
      <w:pPr>
        <w:bidi w:val="0"/>
        <w:rPr>
          <w:rFonts w:hint="eastAsia"/>
        </w:rPr>
      </w:pPr>
      <w:r>
        <w:rPr>
          <w:rFonts w:hint="eastAsia"/>
        </w:rPr>
        <w:t>本标准的编制工作始于 2025 年 1 月，历经项目预研、立项申报、大纲编制、内部研讨及草案形成等多个关键环节，为后续标准的征求意见与审查发布奠定了坚实基础。</w:t>
      </w:r>
    </w:p>
    <w:p w14:paraId="1984AED3">
      <w:pPr>
        <w:bidi w:val="0"/>
        <w:rPr>
          <w:rFonts w:hint="eastAsia"/>
        </w:rPr>
      </w:pPr>
      <w:r>
        <w:rPr>
          <w:rFonts w:hint="eastAsia"/>
        </w:rPr>
        <w:t>2025</w:t>
      </w:r>
      <w:r>
        <w:rPr>
          <w:rFonts w:hint="eastAsia"/>
          <w:lang w:val="en-US" w:eastAsia="zh-CN"/>
        </w:rPr>
        <w:t>年</w:t>
      </w:r>
      <w:r>
        <w:rPr>
          <w:rFonts w:hint="eastAsia"/>
        </w:rPr>
        <w:t>3</w:t>
      </w:r>
      <w:r>
        <w:rPr>
          <w:rFonts w:hint="eastAsia"/>
          <w:lang w:val="en-US" w:eastAsia="zh-CN"/>
        </w:rPr>
        <w:t>月至</w:t>
      </w:r>
      <w:r>
        <w:rPr>
          <w:rFonts w:hint="eastAsia"/>
        </w:rPr>
        <w:t>2025</w:t>
      </w:r>
      <w:r>
        <w:rPr>
          <w:rFonts w:hint="eastAsia"/>
          <w:lang w:val="en-US" w:eastAsia="zh-CN"/>
        </w:rPr>
        <w:t>年</w:t>
      </w:r>
      <w:r>
        <w:rPr>
          <w:rFonts w:hint="eastAsia"/>
        </w:rPr>
        <w:t>4</w:t>
      </w:r>
      <w:r>
        <w:rPr>
          <w:rFonts w:hint="eastAsia"/>
          <w:lang w:val="en-US" w:eastAsia="zh-CN"/>
        </w:rPr>
        <w:t>月</w:t>
      </w:r>
      <w:r>
        <w:rPr>
          <w:rFonts w:hint="eastAsia"/>
          <w:lang w:eastAsia="zh-CN"/>
        </w:rPr>
        <w:t>，</w:t>
      </w:r>
      <w:r>
        <w:rPr>
          <w:rFonts w:hint="eastAsia"/>
        </w:rPr>
        <w:t>标准预研阶段</w:t>
      </w:r>
      <w:r>
        <w:rPr>
          <w:rFonts w:hint="eastAsia"/>
          <w:lang w:eastAsia="zh-CN"/>
        </w:rPr>
        <w:t>，</w:t>
      </w:r>
      <w:r>
        <w:rPr>
          <w:rFonts w:hint="eastAsia"/>
        </w:rPr>
        <w:t>落实主编单位和项目负责人及主要参编单位；对国内外相关文献和研究成果进行梳理和分析，明确标准目标和工作重点；制定详细的计划和实施方案；确定标准整体框架；开展案例分析，初步验证所提出的方法的可行性和有效性，为后续编制工作提供数据支撑。</w:t>
      </w:r>
    </w:p>
    <w:p w14:paraId="2A1B30D6">
      <w:pPr>
        <w:bidi w:val="0"/>
        <w:rPr>
          <w:rFonts w:hint="eastAsia"/>
        </w:rPr>
      </w:pPr>
      <w:r>
        <w:rPr>
          <w:rFonts w:hint="eastAsia"/>
        </w:rPr>
        <w:t>2025</w:t>
      </w:r>
      <w:r>
        <w:rPr>
          <w:rFonts w:hint="eastAsia"/>
          <w:lang w:val="en-US" w:eastAsia="zh-CN"/>
        </w:rPr>
        <w:t>年</w:t>
      </w:r>
      <w:r>
        <w:rPr>
          <w:rFonts w:hint="eastAsia"/>
        </w:rPr>
        <w:t>4</w:t>
      </w:r>
      <w:r>
        <w:rPr>
          <w:rFonts w:hint="eastAsia"/>
          <w:lang w:val="en-US" w:eastAsia="zh-CN"/>
        </w:rPr>
        <w:t>月至</w:t>
      </w:r>
      <w:r>
        <w:rPr>
          <w:rFonts w:hint="eastAsia"/>
        </w:rPr>
        <w:t>2025</w:t>
      </w:r>
      <w:r>
        <w:rPr>
          <w:rFonts w:hint="eastAsia"/>
          <w:lang w:val="en-US" w:eastAsia="zh-CN"/>
        </w:rPr>
        <w:t>年</w:t>
      </w:r>
      <w:r>
        <w:rPr>
          <w:rFonts w:hint="eastAsia"/>
        </w:rPr>
        <w:t>6</w:t>
      </w:r>
      <w:r>
        <w:rPr>
          <w:rFonts w:hint="eastAsia"/>
          <w:lang w:val="en-US" w:eastAsia="zh-CN"/>
        </w:rPr>
        <w:t>月</w:t>
      </w:r>
      <w:r>
        <w:rPr>
          <w:rFonts w:hint="eastAsia"/>
          <w:lang w:eastAsia="zh-CN"/>
        </w:rPr>
        <w:t>，</w:t>
      </w:r>
      <w:r>
        <w:rPr>
          <w:rFonts w:hint="eastAsia"/>
        </w:rPr>
        <w:t>标准立项申请书撰写与标准初稿编制。细化分工并明确各成员在章节撰写、数据校验、意见汇总等方面的职责；明确标准是否涉及专利，在立项前与利益相关方协商，确定有关专利的处置规则、处置程序和要求，并取得标准编制成员的认可。</w:t>
      </w:r>
    </w:p>
    <w:p w14:paraId="251810EE">
      <w:pPr>
        <w:bidi w:val="0"/>
        <w:rPr>
          <w:rFonts w:hint="eastAsia"/>
        </w:rPr>
      </w:pPr>
      <w:r>
        <w:rPr>
          <w:rFonts w:hint="eastAsia"/>
        </w:rPr>
        <w:t>2025</w:t>
      </w:r>
      <w:r>
        <w:rPr>
          <w:rFonts w:hint="eastAsia"/>
          <w:lang w:val="en-US" w:eastAsia="zh-CN"/>
        </w:rPr>
        <w:t>年</w:t>
      </w:r>
      <w:r>
        <w:rPr>
          <w:rFonts w:hint="eastAsia"/>
        </w:rPr>
        <w:t>7</w:t>
      </w:r>
      <w:r>
        <w:rPr>
          <w:rFonts w:hint="eastAsia"/>
          <w:lang w:val="en-US" w:eastAsia="zh-CN"/>
        </w:rPr>
        <w:t>月至</w:t>
      </w:r>
      <w:r>
        <w:rPr>
          <w:rFonts w:hint="eastAsia"/>
        </w:rPr>
        <w:t>2025</w:t>
      </w:r>
      <w:r>
        <w:rPr>
          <w:rFonts w:hint="eastAsia"/>
          <w:lang w:val="en-US" w:eastAsia="zh-CN"/>
        </w:rPr>
        <w:t>年</w:t>
      </w:r>
      <w:r>
        <w:rPr>
          <w:rFonts w:hint="eastAsia"/>
        </w:rPr>
        <w:t>8</w:t>
      </w:r>
      <w:r>
        <w:rPr>
          <w:rFonts w:hint="eastAsia"/>
          <w:lang w:val="en-US" w:eastAsia="zh-CN"/>
        </w:rPr>
        <w:t>月</w:t>
      </w:r>
      <w:r>
        <w:rPr>
          <w:rFonts w:hint="eastAsia"/>
          <w:lang w:eastAsia="zh-CN"/>
        </w:rPr>
        <w:t>，</w:t>
      </w:r>
      <w:r>
        <w:rPr>
          <w:rFonts w:hint="eastAsia"/>
        </w:rPr>
        <w:t>标准立项申请</w:t>
      </w:r>
      <w:r>
        <w:rPr>
          <w:rFonts w:hint="eastAsia"/>
          <w:lang w:eastAsia="zh-CN"/>
        </w:rPr>
        <w:t>，</w:t>
      </w:r>
      <w:r>
        <w:rPr>
          <w:rFonts w:hint="eastAsia"/>
        </w:rPr>
        <w:t>归口单位对项目组织专家进行评审，网上征求意见。</w:t>
      </w:r>
    </w:p>
    <w:p w14:paraId="42CE0D6E">
      <w:pPr>
        <w:bidi w:val="0"/>
        <w:rPr>
          <w:rFonts w:hint="default" w:eastAsia="宋体"/>
          <w:lang w:val="en-US" w:eastAsia="zh-CN"/>
        </w:rPr>
      </w:pPr>
      <w:r>
        <w:rPr>
          <w:rFonts w:hint="eastAsia"/>
        </w:rPr>
        <w:t>2025</w:t>
      </w:r>
      <w:r>
        <w:rPr>
          <w:rFonts w:hint="eastAsia"/>
          <w:lang w:val="en-US" w:eastAsia="zh-CN"/>
        </w:rPr>
        <w:t>年9月至</w:t>
      </w:r>
      <w:r>
        <w:rPr>
          <w:rFonts w:hint="eastAsia"/>
        </w:rPr>
        <w:t>2025</w:t>
      </w:r>
      <w:r>
        <w:rPr>
          <w:rFonts w:hint="eastAsia"/>
          <w:lang w:val="en-US" w:eastAsia="zh-CN"/>
        </w:rPr>
        <w:t>年10月，</w:t>
      </w:r>
      <w:r>
        <w:rPr>
          <w:rFonts w:hint="eastAsia"/>
        </w:rPr>
        <w:t>标准审查</w:t>
      </w:r>
      <w:r>
        <w:rPr>
          <w:rFonts w:hint="eastAsia"/>
          <w:lang w:val="en-US" w:eastAsia="zh-CN"/>
        </w:rPr>
        <w:t>与修改</w:t>
      </w:r>
      <w:r>
        <w:rPr>
          <w:rFonts w:hint="eastAsia"/>
        </w:rPr>
        <w:t>。确定标准审查组人选及专家名单，其应在该专业领域具有权威性和代表性，且具有高级专业技术职称。</w:t>
      </w:r>
      <w:r>
        <w:rPr>
          <w:rFonts w:hint="eastAsia"/>
          <w:lang w:val="en-US" w:eastAsia="zh-CN"/>
        </w:rPr>
        <w:t>返回标准草案修改意见，根据意见对相关内容进行修改完善，形成标准修订版。</w:t>
      </w:r>
    </w:p>
    <w:p w14:paraId="3D1C95F8">
      <w:pPr>
        <w:bidi w:val="0"/>
        <w:rPr>
          <w:rFonts w:hint="eastAsia"/>
          <w:lang w:eastAsia="zh-CN"/>
        </w:rPr>
      </w:pPr>
      <w:r>
        <w:rPr>
          <w:rFonts w:hint="eastAsia"/>
        </w:rPr>
        <w:t>2025</w:t>
      </w:r>
      <w:r>
        <w:rPr>
          <w:rFonts w:hint="eastAsia"/>
          <w:lang w:val="en-US" w:eastAsia="zh-CN"/>
        </w:rPr>
        <w:t>年</w:t>
      </w:r>
      <w:r>
        <w:rPr>
          <w:rFonts w:hint="eastAsia"/>
        </w:rPr>
        <w:t>1</w:t>
      </w:r>
      <w:r>
        <w:rPr>
          <w:rFonts w:hint="eastAsia"/>
          <w:lang w:val="en-US" w:eastAsia="zh-CN"/>
        </w:rPr>
        <w:t>1月</w:t>
      </w:r>
      <w:r>
        <w:rPr>
          <w:rFonts w:hint="eastAsia"/>
          <w:lang w:eastAsia="zh-CN"/>
        </w:rPr>
        <w:t>，</w:t>
      </w:r>
      <w:r>
        <w:rPr>
          <w:rFonts w:hint="eastAsia"/>
        </w:rPr>
        <w:t>组织召开专家研讨会，对标准</w:t>
      </w:r>
      <w:r>
        <w:rPr>
          <w:rFonts w:hint="eastAsia"/>
          <w:lang w:val="en-US" w:eastAsia="zh-CN"/>
        </w:rPr>
        <w:t>修订版</w:t>
      </w:r>
      <w:r>
        <w:rPr>
          <w:rFonts w:hint="eastAsia"/>
        </w:rPr>
        <w:t>内容进行集中讨论与论证，根据</w:t>
      </w:r>
      <w:r>
        <w:rPr>
          <w:rFonts w:hint="eastAsia"/>
          <w:lang w:val="en-US" w:eastAsia="zh-CN"/>
        </w:rPr>
        <w:t>现场</w:t>
      </w:r>
      <w:r>
        <w:rPr>
          <w:rFonts w:hint="eastAsia"/>
        </w:rPr>
        <w:t>专家反馈意见对相关内容进行完善。与此同时，起草组同步完成立项申报材料的撰写，并正式向中国地理学会提交立项申请</w:t>
      </w:r>
      <w:r>
        <w:rPr>
          <w:rFonts w:hint="eastAsia"/>
          <w:lang w:eastAsia="zh-CN"/>
        </w:rPr>
        <w:t>。</w:t>
      </w:r>
    </w:p>
    <w:p w14:paraId="7B900AC5">
      <w:pPr>
        <w:bidi w:val="0"/>
        <w:rPr>
          <w:rFonts w:hint="eastAsia"/>
          <w:lang w:val="en-US" w:eastAsia="zh-CN"/>
        </w:rPr>
      </w:pPr>
      <w:r>
        <w:rPr>
          <w:rFonts w:hint="eastAsia"/>
          <w:lang w:val="en-US" w:eastAsia="zh-CN"/>
        </w:rPr>
        <w:t>2026年4月，中国地理学会正式批复立项，标准编制工作进入有序推进阶段。</w:t>
      </w:r>
    </w:p>
    <w:p w14:paraId="1FE96959">
      <w:pPr>
        <w:bidi w:val="0"/>
        <w:rPr>
          <w:rFonts w:hint="eastAsia"/>
          <w:lang w:val="en-US" w:eastAsia="zh-CN"/>
        </w:rPr>
      </w:pPr>
      <w:r>
        <w:rPr>
          <w:rFonts w:hint="eastAsia"/>
          <w:lang w:val="en-US" w:eastAsia="zh-CN"/>
        </w:rPr>
        <w:t>2026年5月，完成《工作大纲》的编制工作，系统明确标准的编制目的、主要内容、体系结构、人员分工及进度安排，为后续各阶段工作的规范有序开展提供制度保障。</w:t>
      </w:r>
    </w:p>
    <w:p w14:paraId="4513F373">
      <w:pPr>
        <w:bidi w:val="0"/>
        <w:rPr>
          <w:rFonts w:hint="eastAsia" w:ascii="宋体" w:hAnsi="宋体" w:eastAsia="宋体" w:cs="宋体"/>
          <w:szCs w:val="24"/>
          <w:lang w:eastAsia="zh-CN"/>
        </w:rPr>
      </w:pPr>
      <w:r>
        <w:rPr>
          <w:rFonts w:hint="eastAsia"/>
        </w:rPr>
        <w:t>2026年</w:t>
      </w:r>
      <w:r>
        <w:rPr>
          <w:rFonts w:hint="eastAsia"/>
          <w:lang w:val="en-US" w:eastAsia="zh-CN"/>
        </w:rPr>
        <w:t>6</w:t>
      </w:r>
      <w:r>
        <w:rPr>
          <w:rFonts w:hint="eastAsia"/>
        </w:rPr>
        <w:t>月至</w:t>
      </w:r>
      <w:r>
        <w:rPr>
          <w:rFonts w:hint="eastAsia"/>
          <w:lang w:val="en-US" w:eastAsia="zh-CN"/>
        </w:rPr>
        <w:t>7</w:t>
      </w:r>
      <w:r>
        <w:rPr>
          <w:rFonts w:hint="eastAsia"/>
        </w:rPr>
        <w:t>月，完成《标准编制说明》的撰写，最终形成《地标生境 吉林磐石千塘稻永久基本农田案例（征求意见稿）》，拟于 7 月通过中国地理学会平台，开始向社会及相关领域专家定向征求意见</w:t>
      </w:r>
      <w:r>
        <w:rPr>
          <w:rFonts w:hint="eastAsia"/>
          <w:lang w:eastAsia="zh-CN"/>
        </w:rPr>
        <w:t>。</w:t>
      </w:r>
    </w:p>
    <w:p w14:paraId="0A1F9219">
      <w:pPr>
        <w:pStyle w:val="3"/>
        <w:bidi w:val="0"/>
        <w:rPr>
          <w:rFonts w:hint="eastAsia" w:ascii="宋体" w:hAnsi="宋体" w:eastAsia="宋体" w:cs="宋体"/>
          <w:szCs w:val="28"/>
        </w:rPr>
      </w:pPr>
      <w:bookmarkStart w:id="11" w:name="_Toc15995"/>
      <w:bookmarkStart w:id="12" w:name="_Toc24698"/>
      <w:r>
        <w:rPr>
          <w:rFonts w:hint="eastAsia"/>
        </w:rPr>
        <w:t>二</w:t>
      </w:r>
      <w:r>
        <w:rPr>
          <w:rFonts w:hint="eastAsia"/>
          <w:lang w:eastAsia="zh-CN"/>
        </w:rPr>
        <w:t>、</w:t>
      </w:r>
      <w:r>
        <w:rPr>
          <w:rFonts w:hint="eastAsia"/>
        </w:rPr>
        <w:t>团体标准编制原则和确定标准主要内容的依据</w:t>
      </w:r>
      <w:bookmarkEnd w:id="11"/>
      <w:bookmarkEnd w:id="12"/>
    </w:p>
    <w:p w14:paraId="63D54058">
      <w:pPr>
        <w:pStyle w:val="4"/>
        <w:bidi w:val="0"/>
        <w:rPr>
          <w:rFonts w:hint="eastAsia"/>
        </w:rPr>
      </w:pPr>
      <w:bookmarkStart w:id="13" w:name="bookmark28"/>
      <w:bookmarkEnd w:id="13"/>
      <w:bookmarkStart w:id="14" w:name="_Toc13604"/>
      <w:bookmarkStart w:id="15" w:name="_Toc20818"/>
      <w:r>
        <w:rPr>
          <w:rFonts w:hint="eastAsia"/>
        </w:rPr>
        <w:t>（一）标准编制背景</w:t>
      </w:r>
      <w:bookmarkEnd w:id="14"/>
      <w:bookmarkEnd w:id="15"/>
    </w:p>
    <w:p w14:paraId="1F6F54B9">
      <w:pPr>
        <w:rPr>
          <w:rFonts w:hint="eastAsia"/>
          <w:lang w:val="en-US" w:eastAsia="zh-CN"/>
        </w:rPr>
      </w:pPr>
      <w:r>
        <w:rPr>
          <w:rFonts w:hint="default"/>
          <w:lang w:val="en-US" w:eastAsia="zh-CN"/>
        </w:rPr>
        <w:t>当前，随着农业生态系统保护和乡村可持续发展需求不断提升，特色农业发展逐渐由单一生产功能向生态保护、景观价值和地域文化传承等综合功能转变。消费者越来越关注农产品背后的生态环境、生产方式与地域文化价值</w:t>
      </w:r>
      <w:r>
        <w:rPr>
          <w:rFonts w:hint="eastAsia"/>
          <w:lang w:val="en-US" w:eastAsia="zh-CN"/>
        </w:rPr>
        <w:t>。</w:t>
      </w:r>
    </w:p>
    <w:p w14:paraId="4015CC3B">
      <w:pPr>
        <w:rPr>
          <w:rFonts w:hint="default"/>
          <w:lang w:val="en-US" w:eastAsia="zh-CN"/>
        </w:rPr>
      </w:pPr>
      <w:r>
        <w:rPr>
          <w:rFonts w:hint="default"/>
          <w:lang w:val="en-US" w:eastAsia="zh-CN"/>
        </w:rPr>
        <w:t>吉林磐石</w:t>
      </w:r>
      <w:r>
        <w:rPr>
          <w:rFonts w:hint="eastAsia"/>
          <w:lang w:val="en-US" w:eastAsia="zh-CN"/>
        </w:rPr>
        <w:t>位于长白山脉向松嫩平原的过渡地带，降雨充沛，积温适中，日照充足，同时也是全国塘库数量最多的县市单位。</w:t>
      </w:r>
      <w:r>
        <w:rPr>
          <w:rFonts w:hint="default"/>
          <w:lang w:val="en-US" w:eastAsia="zh-CN"/>
        </w:rPr>
        <w:t>磐石千塘稻区域</w:t>
      </w:r>
      <w:r>
        <w:rPr>
          <w:rFonts w:hint="eastAsia"/>
          <w:lang w:val="en-US" w:eastAsia="zh-CN"/>
        </w:rPr>
        <w:t>拥有着</w:t>
      </w:r>
      <w:r>
        <w:rPr>
          <w:rFonts w:hint="default"/>
          <w:lang w:val="en-US" w:eastAsia="zh-CN"/>
        </w:rPr>
        <w:t>大量塘坝、湿地、水系与稻田交织共生的农田生态景观，构建了典型的“稻田—塘坝—湿地”复合生境。该区域不仅是永久基本农田的重要组成部分，同时也是优质水稻形成的重要生态基础</w:t>
      </w:r>
      <w:r>
        <w:rPr>
          <w:rFonts w:hint="eastAsia"/>
          <w:lang w:val="en-US" w:eastAsia="zh-CN"/>
        </w:rPr>
        <w:t>。</w:t>
      </w:r>
      <w:r>
        <w:rPr>
          <w:rFonts w:hint="default"/>
          <w:lang w:val="en-US" w:eastAsia="zh-CN"/>
        </w:rPr>
        <w:t>该区域兼具永久基本农田保护、生物多样性维持、水资源调蓄、生态景观塑造及农业文化传承等多重价值。</w:t>
      </w:r>
    </w:p>
    <w:p w14:paraId="060CC872">
      <w:pPr>
        <w:rPr>
          <w:rFonts w:hint="default"/>
          <w:lang w:val="en-US" w:eastAsia="zh-CN"/>
        </w:rPr>
      </w:pPr>
      <w:r>
        <w:rPr>
          <w:rFonts w:hint="default"/>
          <w:lang w:val="en-US" w:eastAsia="zh-CN"/>
        </w:rPr>
        <w:t>优良的水源条件、湿地生态系统、生物多样性环境以及黑土地资源，共同塑造了千塘稻大米的独特品质与生态属性。因此，磐石千塘稻区域特色形成不仅依赖于水稻品种和生产方式，更源于长期形成的“稻田—塘坝—湿地”复合生态系统及其稳定的人地关系。</w:t>
      </w:r>
    </w:p>
    <w:p w14:paraId="08DE342B">
      <w:pPr>
        <w:rPr>
          <w:rFonts w:hint="eastAsia" w:ascii="宋体" w:hAnsi="宋体" w:eastAsia="宋体" w:cs="宋体"/>
          <w:sz w:val="24"/>
          <w:szCs w:val="24"/>
        </w:rPr>
      </w:pPr>
      <w:r>
        <w:rPr>
          <w:rFonts w:hint="eastAsia"/>
          <w:lang w:val="en-US" w:eastAsia="zh-CN"/>
        </w:rPr>
        <w:t>吉林磐石大米品牌已在2020年完成注册</w:t>
      </w:r>
      <w:r>
        <w:rPr>
          <w:rFonts w:hint="default"/>
          <w:lang w:val="en-US" w:eastAsia="zh-CN"/>
        </w:rPr>
        <w:t>。</w:t>
      </w:r>
      <w:r>
        <w:rPr>
          <w:rFonts w:hint="eastAsia"/>
          <w:lang w:val="en-US" w:eastAsia="zh-CN"/>
        </w:rPr>
        <w:t>2021年在磐石水稻种植区设置了10个产品生境自动实时监测站，，对水稻生长环境进行自动监测与记录，检测指标包括水质、土壤、气象、植被、病虫害等。2022年磐石千塘稻永久基本农田案例通过了优质地理产品生境保护与可持续发展案例的论证。本标准以“地标生境”（GIES）理念为引领，将生态环境要素纳入地理标志产品标准体系，实现从“产品保护”向“生境协同保护”的跨越。</w:t>
      </w:r>
    </w:p>
    <w:p w14:paraId="01BF8E81">
      <w:pPr>
        <w:pStyle w:val="4"/>
        <w:bidi w:val="0"/>
        <w:rPr>
          <w:rFonts w:hint="eastAsia" w:ascii="宋体" w:hAnsi="宋体" w:eastAsia="宋体" w:cs="宋体"/>
          <w:szCs w:val="24"/>
        </w:rPr>
      </w:pPr>
      <w:bookmarkStart w:id="16" w:name="_Toc30141"/>
      <w:bookmarkStart w:id="17" w:name="_Toc29820"/>
      <w:r>
        <w:rPr>
          <w:rFonts w:hint="eastAsia"/>
        </w:rPr>
        <w:t>（二）标准编制原则</w:t>
      </w:r>
      <w:bookmarkEnd w:id="16"/>
      <w:bookmarkEnd w:id="17"/>
    </w:p>
    <w:p w14:paraId="0C872A64">
      <w:pPr>
        <w:bidi w:val="0"/>
        <w:rPr>
          <w:rFonts w:hint="eastAsia"/>
        </w:rPr>
      </w:pPr>
      <w:r>
        <w:rPr>
          <w:rFonts w:hint="eastAsia"/>
        </w:rPr>
        <w:t>团体标准编制过程中，坚持科学性、系统性、规范性、可操作性、区域特色性和推广应用性原则，充分考虑农业生态系统形成规律、永久基本农田保护要求以及特色农业可持续发展需求，构建具有地理学特色的地标生境案例评价与保护标准体系</w:t>
      </w:r>
      <w:r>
        <w:rPr>
          <w:rFonts w:hint="eastAsia"/>
          <w:lang w:eastAsia="zh-CN"/>
        </w:rPr>
        <w:t>。</w:t>
      </w:r>
      <w:r>
        <w:rPr>
          <w:rFonts w:hint="eastAsia"/>
        </w:rPr>
        <w:t>为保障标准的技术可靠性和先进性</w:t>
      </w:r>
      <w:r>
        <w:rPr>
          <w:rFonts w:hint="eastAsia"/>
          <w:lang w:eastAsia="zh-CN"/>
        </w:rPr>
        <w:t>，</w:t>
      </w:r>
      <w:r>
        <w:rPr>
          <w:rFonts w:hint="eastAsia"/>
        </w:rPr>
        <w:t>标准编制过程中将主要遵循以下原则：</w:t>
      </w:r>
    </w:p>
    <w:p w14:paraId="35721179">
      <w:pPr>
        <w:bidi w:val="0"/>
        <w:rPr>
          <w:rFonts w:hint="eastAsia" w:eastAsia="宋体"/>
          <w:lang w:eastAsia="zh-CN"/>
        </w:rPr>
      </w:pPr>
      <w:r>
        <w:rPr>
          <w:rFonts w:hint="eastAsia"/>
          <w:lang w:val="en-US" w:eastAsia="zh-CN"/>
        </w:rPr>
        <w:t>1、</w:t>
      </w:r>
      <w:r>
        <w:rPr>
          <w:rFonts w:hint="eastAsia"/>
        </w:rPr>
        <w:t>科学性原则；本标准创新性地将“地标生境”（GIES）理念引入地理标志产品标准体系</w:t>
      </w:r>
      <w:r>
        <w:rPr>
          <w:rFonts w:hint="eastAsia"/>
          <w:lang w:eastAsia="zh-CN"/>
        </w:rPr>
        <w:t>，以地理学、人地关系地域系统和农业生态系统理论为基础，综合考虑自然环境、土地利用、水资源条件和农业生产活动等因素，科学分析磐石千塘稻特色农业生态系统形成机制，确保标准内容具有科学依据；</w:t>
      </w:r>
    </w:p>
    <w:p w14:paraId="6FDBC666">
      <w:pPr>
        <w:bidi w:val="0"/>
        <w:rPr>
          <w:rFonts w:hint="eastAsia"/>
          <w:lang w:eastAsia="zh-CN"/>
        </w:rPr>
      </w:pPr>
      <w:r>
        <w:rPr>
          <w:rFonts w:hint="eastAsia"/>
          <w:lang w:val="en-US" w:eastAsia="zh-CN"/>
        </w:rPr>
        <w:t>2、</w:t>
      </w:r>
      <w:r>
        <w:rPr>
          <w:rFonts w:hint="eastAsia"/>
        </w:rPr>
        <w:t>系统性原则</w:t>
      </w:r>
      <w:r>
        <w:rPr>
          <w:rFonts w:hint="eastAsia"/>
          <w:lang w:eastAsia="zh-CN"/>
        </w:rPr>
        <w:t>：</w:t>
      </w:r>
      <w:r>
        <w:rPr>
          <w:rFonts w:hint="eastAsia"/>
        </w:rPr>
        <w:t>本标准坚持整体系统观，围绕“生境条件—农业生产—保护利用”的逻辑关系，综合评价自然环境条件、农田生态功能和人地关系特征，体现地标生境案例的综合性和系统性</w:t>
      </w:r>
      <w:r>
        <w:rPr>
          <w:rFonts w:hint="eastAsia"/>
          <w:lang w:eastAsia="zh-CN"/>
        </w:rPr>
        <w:t>；</w:t>
      </w:r>
    </w:p>
    <w:p w14:paraId="242E0BD0">
      <w:pPr>
        <w:bidi w:val="0"/>
        <w:rPr>
          <w:rFonts w:hint="eastAsia"/>
          <w:lang w:val="en-US" w:eastAsia="zh-CN"/>
        </w:rPr>
      </w:pPr>
      <w:r>
        <w:rPr>
          <w:rFonts w:hint="eastAsia"/>
          <w:lang w:val="en-US" w:eastAsia="zh-CN"/>
        </w:rPr>
        <w:t>3、规范性原则：本标准遵循国家有关法律法规和相关技术标准要求，规范地标生境案例相关术语、评价内容和技术要求，确保标准与现有永久基本农田保护、农业生态环境保护等标准体系相协调；</w:t>
      </w:r>
    </w:p>
    <w:p w14:paraId="675DB0B1">
      <w:pPr>
        <w:bidi w:val="0"/>
        <w:rPr>
          <w:rFonts w:hint="eastAsia"/>
          <w:lang w:val="en-US" w:eastAsia="zh-CN"/>
        </w:rPr>
      </w:pPr>
      <w:r>
        <w:rPr>
          <w:rFonts w:hint="eastAsia"/>
          <w:lang w:val="en-US" w:eastAsia="zh-CN"/>
        </w:rPr>
        <w:t>4、可操作性原则：本标准充分考虑实际应用需求，选择具有明确数据来源和调查基础的评价指标，明确评价方法和实施流程，保证标准在案例评价和推广应用中的可执行性；</w:t>
      </w:r>
    </w:p>
    <w:p w14:paraId="0C4B7A90">
      <w:pPr>
        <w:bidi w:val="0"/>
        <w:rPr>
          <w:rFonts w:hint="default" w:ascii="宋体" w:hAnsi="宋体" w:cs="宋体"/>
          <w:spacing w:val="-2"/>
          <w:szCs w:val="24"/>
          <w:lang w:val="en-US" w:eastAsia="zh-CN"/>
        </w:rPr>
      </w:pPr>
      <w:r>
        <w:rPr>
          <w:rFonts w:hint="eastAsia"/>
          <w:lang w:val="en-US" w:eastAsia="zh-CN"/>
        </w:rPr>
        <w:t>5、推广应用性原则：本标准以磐石千塘稻永久基本农田为典型案例，总结具有地域特色的农业生态系统保护经验，形成可复制、可推广的地标生境案例评价模式，为类似农业生态系统保护和可持续利用提供参考。</w:t>
      </w:r>
    </w:p>
    <w:p w14:paraId="3F87F846">
      <w:pPr>
        <w:pStyle w:val="4"/>
        <w:bidi w:val="0"/>
        <w:rPr>
          <w:rFonts w:hint="eastAsia"/>
        </w:rPr>
      </w:pPr>
      <w:bookmarkStart w:id="18" w:name="_Toc4327"/>
      <w:bookmarkStart w:id="19" w:name="_Toc19801"/>
      <w:r>
        <w:rPr>
          <w:rFonts w:hint="eastAsia"/>
        </w:rPr>
        <w:t>（三）标准主要内容的依据</w:t>
      </w:r>
      <w:bookmarkEnd w:id="18"/>
      <w:bookmarkEnd w:id="19"/>
    </w:p>
    <w:p w14:paraId="10F31244">
      <w:pPr>
        <w:pStyle w:val="5"/>
        <w:bidi w:val="0"/>
        <w:rPr>
          <w:rFonts w:hint="eastAsia"/>
        </w:rPr>
      </w:pPr>
      <w:bookmarkStart w:id="20" w:name="_Toc20837"/>
      <w:r>
        <w:rPr>
          <w:rFonts w:hint="eastAsia"/>
        </w:rPr>
        <w:t>1</w:t>
      </w:r>
      <w:r>
        <w:rPr>
          <w:rFonts w:hint="eastAsia"/>
          <w:lang w:val="en-US" w:eastAsia="zh-CN"/>
        </w:rPr>
        <w:t xml:space="preserve">  </w:t>
      </w:r>
      <w:r>
        <w:rPr>
          <w:rFonts w:hint="eastAsia"/>
        </w:rPr>
        <w:t>范围</w:t>
      </w:r>
      <w:bookmarkEnd w:id="20"/>
    </w:p>
    <w:p w14:paraId="7B7008B5">
      <w:pPr>
        <w:bidi w:val="0"/>
        <w:rPr>
          <w:rFonts w:hint="eastAsia"/>
        </w:rPr>
      </w:pPr>
      <w:r>
        <w:rPr>
          <w:rFonts w:hint="eastAsia"/>
        </w:rPr>
        <w:t>本文件规定了磐石千塘稻永久基本农田案例的保护范围、生境条件、生境保护要求、水稻生产、收获与稻谷处理、大米加工和质量要求、检验方法、检验规则以及标志、标签、包装、运输和贮存。</w:t>
      </w:r>
    </w:p>
    <w:p w14:paraId="4E2FFDD5">
      <w:pPr>
        <w:bidi w:val="0"/>
        <w:rPr>
          <w:rFonts w:hint="eastAsia"/>
        </w:rPr>
      </w:pPr>
      <w:r>
        <w:rPr>
          <w:rFonts w:hint="eastAsia"/>
        </w:rPr>
        <w:t>本文件适用于磐石千塘稻永久基本农田案例的生境保护与可持续管理，以及保护范围内水稻的生产、加工和产品质量评价。</w:t>
      </w:r>
    </w:p>
    <w:p w14:paraId="3AB1BB5C">
      <w:pPr>
        <w:pStyle w:val="5"/>
        <w:bidi w:val="0"/>
        <w:rPr>
          <w:rFonts w:hint="eastAsia"/>
          <w:color w:val="auto"/>
        </w:rPr>
      </w:pPr>
      <w:bookmarkStart w:id="21" w:name="_Toc22600"/>
      <w:r>
        <w:rPr>
          <w:rFonts w:hint="eastAsia"/>
          <w:color w:val="auto"/>
        </w:rPr>
        <w:t>2  规范性引用文件</w:t>
      </w:r>
      <w:bookmarkEnd w:id="21"/>
    </w:p>
    <w:p w14:paraId="5F73EB1A">
      <w:pPr>
        <w:bidi w:val="0"/>
        <w:rPr>
          <w:rFonts w:hint="eastAsia"/>
        </w:rPr>
      </w:pPr>
      <w:r>
        <w:rPr>
          <w:rFonts w:hint="eastAsia"/>
        </w:rPr>
        <w:t>下列文件对于本文件的应用是必不可少的。凡是注日期的引用文件，仅注日期的版本适用于本文件。凡是不注日期引用文件，其最新版本（包括所有的修改单）适用于本文件。</w:t>
      </w:r>
    </w:p>
    <w:p w14:paraId="71F9B7B4">
      <w:pPr>
        <w:bidi w:val="0"/>
        <w:rPr>
          <w:rFonts w:hint="eastAsia"/>
        </w:rPr>
      </w:pPr>
      <w:r>
        <w:rPr>
          <w:rFonts w:hint="eastAsia"/>
        </w:rPr>
        <w:t>GB 3095环境空气质量标准</w:t>
      </w:r>
    </w:p>
    <w:p w14:paraId="75D5A22F">
      <w:pPr>
        <w:bidi w:val="0"/>
        <w:rPr>
          <w:rFonts w:hint="eastAsia"/>
        </w:rPr>
      </w:pPr>
      <w:r>
        <w:rPr>
          <w:rFonts w:hint="eastAsia"/>
        </w:rPr>
        <w:t>GB 3838 地表水环境质量标准</w:t>
      </w:r>
    </w:p>
    <w:p w14:paraId="5E2B899D">
      <w:pPr>
        <w:bidi w:val="0"/>
        <w:rPr>
          <w:rFonts w:hint="eastAsia"/>
        </w:rPr>
      </w:pPr>
      <w:r>
        <w:rPr>
          <w:rFonts w:hint="eastAsia"/>
        </w:rPr>
        <w:t>GB 5009.3 食品安全国家标准食品中水分的测定</w:t>
      </w:r>
    </w:p>
    <w:p w14:paraId="7E0BB6A9">
      <w:pPr>
        <w:bidi w:val="0"/>
        <w:rPr>
          <w:rFonts w:hint="eastAsia"/>
        </w:rPr>
      </w:pPr>
      <w:r>
        <w:rPr>
          <w:rFonts w:hint="eastAsia"/>
        </w:rPr>
        <w:t>GB/T 22294粮油检验大米胶稠度的测定</w:t>
      </w:r>
    </w:p>
    <w:p w14:paraId="16366841">
      <w:pPr>
        <w:bidi w:val="0"/>
        <w:rPr>
          <w:rFonts w:hint="eastAsia"/>
        </w:rPr>
      </w:pPr>
      <w:r>
        <w:rPr>
          <w:rFonts w:hint="eastAsia"/>
        </w:rPr>
        <w:t>GB/T 35881 粮油检验稻谷黄粒米含量测定图像分析法</w:t>
      </w:r>
    </w:p>
    <w:p w14:paraId="1D1BCAAA">
      <w:pPr>
        <w:bidi w:val="0"/>
        <w:rPr>
          <w:rFonts w:hint="eastAsia"/>
        </w:rPr>
      </w:pPr>
      <w:r>
        <w:rPr>
          <w:rFonts w:hint="eastAsia"/>
        </w:rPr>
        <w:t>GB/T 5492粮油检验粮食、油料的色泽、气味、口味鉴定</w:t>
      </w:r>
    </w:p>
    <w:p w14:paraId="34F654F8">
      <w:pPr>
        <w:bidi w:val="0"/>
        <w:rPr>
          <w:rFonts w:hint="eastAsia"/>
        </w:rPr>
      </w:pPr>
      <w:r>
        <w:rPr>
          <w:rFonts w:hint="eastAsia"/>
        </w:rPr>
        <w:t>GB/T 5502 粮油检验大米加工精度检验</w:t>
      </w:r>
    </w:p>
    <w:p w14:paraId="59426695">
      <w:pPr>
        <w:bidi w:val="0"/>
        <w:rPr>
          <w:rFonts w:hint="eastAsia"/>
        </w:rPr>
      </w:pPr>
      <w:r>
        <w:rPr>
          <w:rFonts w:hint="eastAsia"/>
        </w:rPr>
        <w:t>GB/T 5503粮油检验碎米检验法</w:t>
      </w:r>
    </w:p>
    <w:p w14:paraId="77B88EB8">
      <w:pPr>
        <w:bidi w:val="0"/>
        <w:rPr>
          <w:rFonts w:hint="eastAsia"/>
        </w:rPr>
      </w:pPr>
      <w:r>
        <w:rPr>
          <w:rFonts w:hint="eastAsia"/>
        </w:rPr>
        <w:t>GB/T</w:t>
      </w:r>
      <w:r>
        <w:rPr>
          <w:rFonts w:hint="eastAsia"/>
          <w:lang w:val="en-US" w:eastAsia="zh-CN"/>
        </w:rPr>
        <w:t xml:space="preserve"> </w:t>
      </w:r>
      <w:r>
        <w:rPr>
          <w:rFonts w:hint="eastAsia"/>
        </w:rPr>
        <w:t>1354 大米</w:t>
      </w:r>
    </w:p>
    <w:p w14:paraId="51B921D2">
      <w:pPr>
        <w:bidi w:val="0"/>
        <w:rPr>
          <w:rFonts w:hint="eastAsia"/>
        </w:rPr>
      </w:pPr>
      <w:r>
        <w:rPr>
          <w:rFonts w:hint="eastAsia"/>
        </w:rPr>
        <w:t>GB/T</w:t>
      </w:r>
      <w:r>
        <w:rPr>
          <w:rFonts w:hint="eastAsia"/>
          <w:lang w:val="en-US" w:eastAsia="zh-CN"/>
        </w:rPr>
        <w:t xml:space="preserve"> </w:t>
      </w:r>
      <w:r>
        <w:rPr>
          <w:rFonts w:hint="eastAsia"/>
        </w:rPr>
        <w:t>15683 大米直链淀粉含量的测定</w:t>
      </w:r>
    </w:p>
    <w:p w14:paraId="0BA217FA">
      <w:pPr>
        <w:bidi w:val="0"/>
        <w:rPr>
          <w:rFonts w:hint="eastAsia"/>
        </w:rPr>
      </w:pPr>
      <w:r>
        <w:rPr>
          <w:rFonts w:hint="eastAsia"/>
        </w:rPr>
        <w:t>GB/T</w:t>
      </w:r>
      <w:r>
        <w:rPr>
          <w:rFonts w:hint="eastAsia"/>
          <w:lang w:val="en-US" w:eastAsia="zh-CN"/>
        </w:rPr>
        <w:t xml:space="preserve"> </w:t>
      </w:r>
      <w:r>
        <w:rPr>
          <w:rFonts w:hint="eastAsia"/>
        </w:rPr>
        <w:t>15790稻瘟病测报调查规范</w:t>
      </w:r>
    </w:p>
    <w:p w14:paraId="5369977C">
      <w:pPr>
        <w:bidi w:val="0"/>
        <w:rPr>
          <w:rFonts w:hint="eastAsia"/>
        </w:rPr>
      </w:pPr>
      <w:r>
        <w:rPr>
          <w:rFonts w:hint="eastAsia"/>
        </w:rPr>
        <w:t>GB/T</w:t>
      </w:r>
      <w:r>
        <w:rPr>
          <w:rFonts w:hint="eastAsia"/>
          <w:lang w:val="en-US" w:eastAsia="zh-CN"/>
        </w:rPr>
        <w:t xml:space="preserve"> </w:t>
      </w:r>
      <w:r>
        <w:rPr>
          <w:rFonts w:hint="eastAsia"/>
        </w:rPr>
        <w:t>5494 粮油检验粮食、油料的杂质、不完善粒检验</w:t>
      </w:r>
    </w:p>
    <w:p w14:paraId="1C4C2538">
      <w:pPr>
        <w:bidi w:val="0"/>
        <w:rPr>
          <w:rFonts w:hint="eastAsia"/>
        </w:rPr>
      </w:pPr>
      <w:r>
        <w:rPr>
          <w:rFonts w:hint="eastAsia"/>
        </w:rPr>
        <w:t>GB</w:t>
      </w:r>
      <w:r>
        <w:rPr>
          <w:rFonts w:hint="eastAsia"/>
          <w:lang w:val="en-US" w:eastAsia="zh-CN"/>
        </w:rPr>
        <w:t xml:space="preserve"> </w:t>
      </w:r>
      <w:r>
        <w:rPr>
          <w:rFonts w:hint="eastAsia"/>
        </w:rPr>
        <w:t>17109 粮食销售包装</w:t>
      </w:r>
    </w:p>
    <w:p w14:paraId="192FDA8C">
      <w:pPr>
        <w:bidi w:val="0"/>
        <w:rPr>
          <w:rFonts w:hint="eastAsia"/>
        </w:rPr>
      </w:pPr>
      <w:r>
        <w:rPr>
          <w:rFonts w:hint="eastAsia"/>
        </w:rPr>
        <w:t>GB</w:t>
      </w:r>
      <w:r>
        <w:rPr>
          <w:rFonts w:hint="eastAsia"/>
          <w:lang w:val="en-US" w:eastAsia="zh-CN"/>
        </w:rPr>
        <w:t xml:space="preserve"> </w:t>
      </w:r>
      <w:r>
        <w:rPr>
          <w:rFonts w:hint="eastAsia"/>
        </w:rPr>
        <w:t>2762 食品安全国家标准 食品中污染物限量</w:t>
      </w:r>
    </w:p>
    <w:p w14:paraId="12E50604">
      <w:pPr>
        <w:bidi w:val="0"/>
        <w:rPr>
          <w:rFonts w:hint="eastAsia"/>
        </w:rPr>
      </w:pPr>
      <w:r>
        <w:rPr>
          <w:rFonts w:hint="eastAsia"/>
        </w:rPr>
        <w:t>GB</w:t>
      </w:r>
      <w:r>
        <w:rPr>
          <w:rFonts w:hint="eastAsia"/>
          <w:lang w:val="en-US" w:eastAsia="zh-CN"/>
        </w:rPr>
        <w:t xml:space="preserve"> </w:t>
      </w:r>
      <w:r>
        <w:rPr>
          <w:rFonts w:hint="eastAsia"/>
        </w:rPr>
        <w:t>2763 食品安全国家标准 食品中农药最大残留限量</w:t>
      </w:r>
    </w:p>
    <w:p w14:paraId="6EA1C387">
      <w:pPr>
        <w:bidi w:val="0"/>
        <w:rPr>
          <w:rFonts w:hint="eastAsia"/>
        </w:rPr>
      </w:pPr>
      <w:r>
        <w:rPr>
          <w:rFonts w:hint="eastAsia"/>
        </w:rPr>
        <w:t>GB</w:t>
      </w:r>
      <w:r>
        <w:rPr>
          <w:rFonts w:hint="eastAsia"/>
          <w:lang w:val="en-US" w:eastAsia="zh-CN"/>
        </w:rPr>
        <w:t xml:space="preserve"> </w:t>
      </w:r>
      <w:r>
        <w:rPr>
          <w:rFonts w:hint="eastAsia"/>
        </w:rPr>
        <w:t>4404.1 粮食作物种子 第1部分：禾谷类</w:t>
      </w:r>
    </w:p>
    <w:p w14:paraId="75429E15">
      <w:pPr>
        <w:bidi w:val="0"/>
        <w:rPr>
          <w:rFonts w:hint="eastAsia"/>
        </w:rPr>
      </w:pPr>
      <w:r>
        <w:rPr>
          <w:rFonts w:hint="eastAsia"/>
        </w:rPr>
        <w:t>GB</w:t>
      </w:r>
      <w:r>
        <w:rPr>
          <w:rFonts w:hint="eastAsia"/>
          <w:lang w:val="en-US" w:eastAsia="zh-CN"/>
        </w:rPr>
        <w:t xml:space="preserve"> </w:t>
      </w:r>
      <w:r>
        <w:rPr>
          <w:rFonts w:hint="eastAsia"/>
        </w:rPr>
        <w:t>5749 生活饮用水卫生标准</w:t>
      </w:r>
    </w:p>
    <w:p w14:paraId="4D9A1415">
      <w:pPr>
        <w:bidi w:val="0"/>
        <w:rPr>
          <w:rFonts w:hint="eastAsia"/>
        </w:rPr>
      </w:pPr>
      <w:r>
        <w:rPr>
          <w:rFonts w:hint="eastAsia"/>
        </w:rPr>
        <w:t>NY/T 391绿色食品 产地环境质量</w:t>
      </w:r>
    </w:p>
    <w:p w14:paraId="308EC63B">
      <w:pPr>
        <w:bidi w:val="0"/>
        <w:rPr>
          <w:rFonts w:hint="eastAsia"/>
        </w:rPr>
      </w:pPr>
      <w:r>
        <w:rPr>
          <w:rFonts w:hint="eastAsia"/>
        </w:rPr>
        <w:t>NY/T 393绿色食品 农药使用准则</w:t>
      </w:r>
    </w:p>
    <w:p w14:paraId="01A1A071">
      <w:pPr>
        <w:bidi w:val="0"/>
        <w:rPr>
          <w:rFonts w:hint="eastAsia"/>
        </w:rPr>
      </w:pPr>
      <w:r>
        <w:rPr>
          <w:rFonts w:hint="eastAsia"/>
        </w:rPr>
        <w:t>NY/T 593食用稻品种品质</w:t>
      </w:r>
    </w:p>
    <w:p w14:paraId="6685F6C8">
      <w:pPr>
        <w:bidi w:val="0"/>
        <w:rPr>
          <w:rFonts w:hint="eastAsia"/>
        </w:rPr>
      </w:pPr>
      <w:r>
        <w:rPr>
          <w:rFonts w:hint="eastAsia"/>
        </w:rPr>
        <w:t>NY/T5190无公害食品稻米加工技术规范</w:t>
      </w:r>
    </w:p>
    <w:p w14:paraId="5780FFC2">
      <w:pPr>
        <w:bidi w:val="0"/>
        <w:rPr>
          <w:rFonts w:hint="eastAsia"/>
        </w:rPr>
      </w:pPr>
      <w:r>
        <w:rPr>
          <w:rFonts w:hint="eastAsia"/>
        </w:rPr>
        <w:t>3  术语和定义</w:t>
      </w:r>
    </w:p>
    <w:p w14:paraId="126C9783">
      <w:pPr>
        <w:bidi w:val="0"/>
        <w:rPr>
          <w:rFonts w:hint="eastAsia"/>
        </w:rPr>
      </w:pPr>
      <w:r>
        <w:rPr>
          <w:rFonts w:hint="eastAsia"/>
        </w:rPr>
        <w:t>GB 1354界定的以及下列术语和定义适用于本文件</w:t>
      </w:r>
    </w:p>
    <w:p w14:paraId="41AFFEFC">
      <w:pPr>
        <w:bidi w:val="0"/>
        <w:rPr>
          <w:rFonts w:hint="default"/>
        </w:rPr>
      </w:pPr>
      <w:r>
        <w:rPr>
          <w:rFonts w:hint="default" w:ascii="Times New Roman" w:hAnsi="Times New Roman" w:eastAsia="黑体" w:cs="Times New Roman"/>
          <w:lang w:val="en-US" w:eastAsia="zh-CN"/>
        </w:rPr>
        <w:t xml:space="preserve">3.1 </w:t>
      </w:r>
      <w:r>
        <w:rPr>
          <w:rFonts w:hint="default" w:ascii="Times New Roman" w:hAnsi="Times New Roman" w:eastAsia="黑体" w:cs="Times New Roman"/>
        </w:rPr>
        <w:t>地标生境(Geographical Indications Environment &amp; Sustainability，GIES)</w:t>
      </w:r>
    </w:p>
    <w:p w14:paraId="7FA37A4B">
      <w:pPr>
        <w:bidi w:val="0"/>
        <w:rPr>
          <w:rFonts w:hint="default"/>
        </w:rPr>
      </w:pPr>
      <w:r>
        <w:rPr>
          <w:rFonts w:hint="default"/>
        </w:rPr>
        <w:t>地标生境即“优质地理产品生态环境保护与可持续发展”是中国科学院地理资源所、中国地理学会等联合提出的2021-2030十年行动计划，旨在践行“绿水青山就是金山银山”理念和推动联合国2030可持续发展目标实现。</w:t>
      </w:r>
    </w:p>
    <w:p w14:paraId="1B9E6937">
      <w:pPr>
        <w:bidi w:val="0"/>
        <w:rPr>
          <w:rFonts w:hint="default" w:ascii="Times New Roman" w:hAnsi="Times New Roman" w:eastAsia="黑体" w:cs="Times New Roman"/>
        </w:rPr>
      </w:pPr>
      <w:r>
        <w:rPr>
          <w:rFonts w:hint="default" w:ascii="Times New Roman" w:hAnsi="Times New Roman" w:eastAsia="黑体" w:cs="Times New Roman"/>
          <w:lang w:val="en-US" w:eastAsia="zh-CN"/>
        </w:rPr>
        <w:t xml:space="preserve">3.2 </w:t>
      </w:r>
      <w:r>
        <w:rPr>
          <w:rFonts w:hint="default" w:ascii="Times New Roman" w:hAnsi="Times New Roman" w:eastAsia="黑体" w:cs="Times New Roman"/>
        </w:rPr>
        <w:t>千塘稻 Qiantang (Thousands Reservoirs) Rice</w:t>
      </w:r>
    </w:p>
    <w:p w14:paraId="29E7C428">
      <w:pPr>
        <w:bidi w:val="0"/>
        <w:rPr>
          <w:rFonts w:hint="eastAsia"/>
        </w:rPr>
      </w:pPr>
      <w:r>
        <w:rPr>
          <w:rFonts w:hint="eastAsia"/>
        </w:rPr>
        <w:t>在磐石千塘稻永久基本农田生态环境保护与可持续发展案例批准保护的范围内，依托水库、塘坝、河流、湿地和永久基本农田形成的复合农业生境，采用适宜当地生态条件的水稻品种和生产方式种植并加工形成的稻谷和大米产品在吉林磐石市独特的地理、气候和生态环境下种植的稻谷</w:t>
      </w:r>
    </w:p>
    <w:p w14:paraId="389C270D">
      <w:pPr>
        <w:pStyle w:val="5"/>
        <w:bidi w:val="0"/>
        <w:rPr>
          <w:rFonts w:hint="default" w:ascii="Times New Roman" w:hAnsi="Times New Roman" w:cs="Times New Roman"/>
          <w:color w:val="auto"/>
          <w:lang w:val="en-US" w:eastAsia="zh-CN"/>
        </w:rPr>
      </w:pPr>
      <w:bookmarkStart w:id="22" w:name="_Toc3515"/>
      <w:r>
        <w:rPr>
          <w:rFonts w:hint="default" w:ascii="Times New Roman" w:hAnsi="Times New Roman" w:cs="Times New Roman"/>
          <w:color w:val="auto"/>
        </w:rPr>
        <w:t xml:space="preserve">4  </w:t>
      </w:r>
      <w:r>
        <w:rPr>
          <w:rFonts w:hint="default" w:ascii="Times New Roman" w:hAnsi="Times New Roman" w:cs="Times New Roman"/>
          <w:color w:val="auto"/>
          <w:lang w:val="en-US" w:eastAsia="zh-CN"/>
        </w:rPr>
        <w:t>产地范围</w:t>
      </w:r>
      <w:bookmarkEnd w:id="22"/>
    </w:p>
    <w:p w14:paraId="769224BB">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千塘稻产品保护范围限于磐石千塘稻永久基本农田生态环境保护与可持续发展案例批准的范围。</w:t>
      </w:r>
    </w:p>
    <w:p w14:paraId="6C49960B">
      <w:pPr>
        <w:pStyle w:val="5"/>
        <w:bidi w:val="0"/>
        <w:rPr>
          <w:rFonts w:hint="default" w:ascii="Times New Roman" w:hAnsi="Times New Roman" w:cs="Times New Roman"/>
          <w:color w:val="auto"/>
          <w:lang w:val="en-US" w:eastAsia="zh-CN"/>
        </w:rPr>
      </w:pPr>
      <w:bookmarkStart w:id="23" w:name="_Toc17794"/>
      <w:r>
        <w:rPr>
          <w:rFonts w:hint="default" w:ascii="Times New Roman" w:hAnsi="Times New Roman" w:cs="Times New Roman"/>
          <w:color w:val="auto"/>
        </w:rPr>
        <w:t xml:space="preserve">5  </w:t>
      </w:r>
      <w:r>
        <w:rPr>
          <w:rFonts w:hint="default" w:ascii="Times New Roman" w:hAnsi="Times New Roman" w:cs="Times New Roman"/>
          <w:color w:val="auto"/>
          <w:lang w:val="en-US" w:eastAsia="zh-CN"/>
        </w:rPr>
        <w:t>生境条件</w:t>
      </w:r>
      <w:bookmarkEnd w:id="23"/>
    </w:p>
    <w:p w14:paraId="15902A65">
      <w:pPr>
        <w:rPr>
          <w:rFonts w:hint="default" w:ascii="Times New Roman" w:hAnsi="Times New Roman" w:cs="Times New Roman"/>
          <w:color w:val="auto"/>
          <w:lang w:val="en-US" w:eastAsia="zh-CN"/>
        </w:rPr>
      </w:pPr>
      <w:r>
        <w:rPr>
          <w:rFonts w:hint="default" w:ascii="Times New Roman" w:hAnsi="Times New Roman" w:eastAsia="黑体" w:cs="Times New Roman"/>
          <w:color w:val="auto"/>
          <w:lang w:val="en-US" w:eastAsia="zh-CN"/>
        </w:rPr>
        <w:t>5.1 地貌特征</w:t>
      </w:r>
    </w:p>
    <w:p w14:paraId="01D78C6D">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千塘稻产区地处长白山西麓、松辽平原向长白山过渡地带，中部、东北部高，南北低，状似屋脊地势，海拔500~1000米，为辉发河水系、饮马河水系的分水岭；在分水岭的南北两侧，河流顺向斜南北分流。</w:t>
      </w:r>
    </w:p>
    <w:p w14:paraId="4E1229F1">
      <w:pPr>
        <w:rPr>
          <w:rFonts w:hint="default" w:ascii="Times New Roman" w:hAnsi="Times New Roman" w:eastAsia="黑体" w:cs="Times New Roman"/>
          <w:color w:val="auto"/>
          <w:lang w:val="en-US" w:eastAsia="zh-CN"/>
        </w:rPr>
      </w:pPr>
      <w:r>
        <w:rPr>
          <w:rFonts w:hint="default" w:ascii="Times New Roman" w:hAnsi="Times New Roman" w:eastAsia="黑体" w:cs="Times New Roman"/>
          <w:color w:val="auto"/>
          <w:lang w:val="en-US" w:eastAsia="zh-CN"/>
        </w:rPr>
        <w:t>5.2 日照</w:t>
      </w:r>
    </w:p>
    <w:p w14:paraId="0A3E3AC4">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水稻生长季节（5月-10月）日照时数为1248h。</w:t>
      </w:r>
    </w:p>
    <w:p w14:paraId="34EEB00C">
      <w:pPr>
        <w:rPr>
          <w:rFonts w:hint="default" w:ascii="Times New Roman" w:hAnsi="Times New Roman" w:eastAsia="黑体" w:cs="Times New Roman"/>
          <w:color w:val="auto"/>
          <w:lang w:val="en-US" w:eastAsia="zh-CN"/>
        </w:rPr>
      </w:pPr>
      <w:r>
        <w:rPr>
          <w:rFonts w:hint="default" w:ascii="Times New Roman" w:hAnsi="Times New Roman" w:eastAsia="黑体" w:cs="Times New Roman"/>
          <w:color w:val="auto"/>
          <w:lang w:val="en-US" w:eastAsia="zh-CN"/>
        </w:rPr>
        <w:t>5.3 气温</w:t>
      </w:r>
    </w:p>
    <w:p w14:paraId="0551D97F">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水稻生长季节（5月-10月）的日平均气温 16.8 ℃，昼夜温差11.7 ℃，大于10 ℃的年积温为2700～2850℃，年平均无霜期为125d。</w:t>
      </w:r>
    </w:p>
    <w:p w14:paraId="2171CD64">
      <w:pPr>
        <w:rPr>
          <w:rFonts w:hint="default" w:ascii="Times New Roman" w:hAnsi="Times New Roman" w:eastAsia="黑体" w:cs="Times New Roman"/>
          <w:color w:val="auto"/>
          <w:lang w:val="en-US" w:eastAsia="zh-CN"/>
        </w:rPr>
      </w:pPr>
      <w:r>
        <w:rPr>
          <w:rFonts w:hint="default" w:ascii="Times New Roman" w:hAnsi="Times New Roman" w:eastAsia="黑体" w:cs="Times New Roman"/>
          <w:color w:val="auto"/>
          <w:lang w:val="en-US" w:eastAsia="zh-CN"/>
        </w:rPr>
        <w:t>5.4 降水</w:t>
      </w:r>
    </w:p>
    <w:p w14:paraId="76BF6901">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水稻生长季节（5月-10月）的降水量为629.4mm，年均降水量为728.2mm</w:t>
      </w:r>
    </w:p>
    <w:p w14:paraId="2333CDA2">
      <w:pPr>
        <w:rPr>
          <w:rFonts w:hint="default" w:ascii="Times New Roman" w:hAnsi="Times New Roman" w:cs="Times New Roman"/>
          <w:color w:val="auto"/>
          <w:lang w:val="en-US" w:eastAsia="zh-CN"/>
        </w:rPr>
      </w:pPr>
      <w:r>
        <w:rPr>
          <w:rFonts w:hint="default" w:ascii="Times New Roman" w:hAnsi="Times New Roman" w:eastAsia="黑体" w:cs="Times New Roman"/>
          <w:color w:val="auto"/>
          <w:lang w:val="en-US" w:eastAsia="zh-CN"/>
        </w:rPr>
        <w:t>5.5 土壤</w:t>
      </w:r>
    </w:p>
    <w:p w14:paraId="0E9FE2B7">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水稻土土壤pH值4.2~7.7，平均值为5.25；有机质平均含量31.1g/kg；全氮平均含量为1.7g/kg；有效磷平均含量88.7mg/kg；速效钾平均含量为166.8mg/kg。</w:t>
      </w:r>
    </w:p>
    <w:p w14:paraId="4BFEB09C">
      <w:pPr>
        <w:rPr>
          <w:rFonts w:hint="default" w:ascii="Times New Roman" w:hAnsi="Times New Roman" w:cs="Times New Roman"/>
          <w:color w:val="auto"/>
          <w:lang w:val="en-US" w:eastAsia="zh-CN"/>
        </w:rPr>
      </w:pPr>
      <w:r>
        <w:rPr>
          <w:rFonts w:hint="default" w:ascii="Times New Roman" w:hAnsi="Times New Roman" w:eastAsia="黑体" w:cs="Times New Roman"/>
          <w:color w:val="auto"/>
          <w:lang w:val="en-US" w:eastAsia="zh-CN"/>
        </w:rPr>
        <w:t>5.6 水源</w:t>
      </w:r>
    </w:p>
    <w:p w14:paraId="5CB7B18F">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本区域水稻灌溉用水主要以地表水为水源，河流包括南部辉发河，北部饮马河两大水系。境内共有大小河流65条，保护范围内水库、塘坝和河流水系分布较为密集，水田灌溉水源主要来自水库、塘坝及河流。。</w:t>
      </w:r>
    </w:p>
    <w:p w14:paraId="451DB49D">
      <w:pPr>
        <w:rPr>
          <w:rFonts w:hint="default" w:ascii="Times New Roman" w:hAnsi="Times New Roman" w:cs="Times New Roman"/>
          <w:color w:val="auto"/>
          <w:lang w:val="en-US" w:eastAsia="zh-CN"/>
        </w:rPr>
      </w:pPr>
      <w:r>
        <w:rPr>
          <w:rFonts w:hint="default" w:ascii="Times New Roman" w:hAnsi="Times New Roman" w:eastAsia="黑体" w:cs="Times New Roman"/>
          <w:color w:val="auto"/>
          <w:lang w:val="en-US" w:eastAsia="zh-CN"/>
        </w:rPr>
        <w:t>5.7 水质要求</w:t>
      </w:r>
    </w:p>
    <w:p w14:paraId="26C1D3CA">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用于稻田灌溉的河流、水库的水质符合GB 3838 Ⅲ类水标准。</w:t>
      </w:r>
    </w:p>
    <w:p w14:paraId="618B5052">
      <w:pPr>
        <w:rPr>
          <w:rFonts w:hint="default" w:ascii="Times New Roman" w:hAnsi="Times New Roman" w:eastAsia="黑体" w:cs="Times New Roman"/>
          <w:color w:val="auto"/>
          <w:lang w:val="en-US" w:eastAsia="zh-CN"/>
        </w:rPr>
      </w:pPr>
      <w:r>
        <w:rPr>
          <w:rFonts w:hint="default" w:ascii="Times New Roman" w:hAnsi="Times New Roman" w:eastAsia="黑体" w:cs="Times New Roman"/>
          <w:color w:val="auto"/>
          <w:lang w:val="en-US" w:eastAsia="zh-CN"/>
        </w:rPr>
        <w:t>5.8 环境空气</w:t>
      </w:r>
    </w:p>
    <w:p w14:paraId="5486F9AD">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环境空气质量标准（GB 3095）的二级规定。</w:t>
      </w:r>
    </w:p>
    <w:p w14:paraId="2198B5C2">
      <w:pPr>
        <w:rPr>
          <w:rFonts w:hint="default" w:ascii="Times New Roman" w:hAnsi="Times New Roman" w:eastAsia="黑体" w:cs="Times New Roman"/>
          <w:color w:val="auto"/>
          <w:lang w:val="en-US" w:eastAsia="zh-CN"/>
        </w:rPr>
      </w:pPr>
      <w:r>
        <w:rPr>
          <w:rFonts w:hint="default" w:ascii="Times New Roman" w:hAnsi="Times New Roman" w:eastAsia="黑体" w:cs="Times New Roman"/>
          <w:color w:val="auto"/>
          <w:lang w:val="en-US" w:eastAsia="zh-CN"/>
        </w:rPr>
        <w:t>5.9 生境监测</w:t>
      </w:r>
    </w:p>
    <w:p w14:paraId="23AA403E">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案例区设置产品生境自动观测站，对水稻生长环境进行监测和记录。监测内容宜包括气象、土壤、水质、植被和病虫害等指标，监测数据应及时整理并保存，用于评价千塘稻生境状况及其变化。案例区现有10个产品生境自动观测站，分布于兰家村、宝山红果、黄河、亚吉、磐海、五四、官马、人和、东方红和柳杨等区域。</w:t>
      </w:r>
    </w:p>
    <w:p w14:paraId="44953B65">
      <w:pPr>
        <w:pStyle w:val="5"/>
        <w:bidi w:val="0"/>
        <w:rPr>
          <w:rFonts w:hint="eastAsia"/>
          <w:lang w:val="en-US" w:eastAsia="zh-CN"/>
        </w:rPr>
      </w:pPr>
      <w:bookmarkStart w:id="24" w:name="_Toc12926"/>
      <w:r>
        <w:rPr>
          <w:rFonts w:hint="eastAsia"/>
          <w:lang w:val="en-US" w:eastAsia="zh-CN"/>
        </w:rPr>
        <w:t>6  水稻生产</w:t>
      </w:r>
      <w:bookmarkEnd w:id="24"/>
    </w:p>
    <w:p w14:paraId="4ECF650E">
      <w:pPr>
        <w:rPr>
          <w:rFonts w:hint="eastAsia"/>
          <w:lang w:val="en-US" w:eastAsia="zh-CN"/>
        </w:rPr>
      </w:pPr>
      <w:r>
        <w:rPr>
          <w:rFonts w:hint="eastAsia"/>
          <w:lang w:val="en-US" w:eastAsia="zh-CN"/>
        </w:rPr>
        <w:t>应选用经审定、适宜磐石积温和无霜期条件、品质优良、抗倒伏和抗主要病害能力较强的水稻品种。种子质量应符合GB4404.1的有关规定，达到国家一级标准。</w:t>
      </w:r>
    </w:p>
    <w:p w14:paraId="42A18B0B">
      <w:pPr>
        <w:rPr>
          <w:rFonts w:hint="eastAsia"/>
          <w:lang w:val="en-US" w:eastAsia="zh-CN"/>
        </w:rPr>
      </w:pPr>
      <w:r>
        <w:rPr>
          <w:rFonts w:hint="eastAsia"/>
          <w:lang w:val="en-US" w:eastAsia="zh-CN"/>
        </w:rPr>
        <w:t>3月下旬浸种前在户外阳光下将稻种平铺8~10cm厚，晒2~3天，每天翻动3~4次。依据NY/T393绿色食品农药使用准则，选择咯菌腈、多菌灵等高效低毒消毒剂进行消毒， 浸种时必须使水面高出种子15cm，浸种时间随水温而定，一般每天平均水温15℃时浸种6~7天，水温10℃时浸种9~10天(即浸种有效积温宜达到100 ℃·d左右)。需要清洗的消毒剂要将种子清洗后放入40℃~50℃温水中预热，温热后立即捞出；不需清洗的消毒剂可直接将种子捞出放在保温处催芽，种子堆积厚度不超过50cm，种子中间放温度计，控制温度在28℃~ 30℃左右。发芽时每天要翻动3~4次。催芽时，应将种子放在阴凉处摊开，晾芽6~8小时左右，即可播种。选择环境质量符合NY/T391要求的田地。</w:t>
      </w:r>
    </w:p>
    <w:p w14:paraId="5BE22AF9">
      <w:pPr>
        <w:rPr>
          <w:rFonts w:hint="eastAsia"/>
          <w:lang w:val="en-US" w:eastAsia="zh-CN"/>
        </w:rPr>
      </w:pPr>
      <w:r>
        <w:rPr>
          <w:rFonts w:hint="eastAsia"/>
          <w:lang w:val="en-US" w:eastAsia="zh-CN"/>
        </w:rPr>
        <w:t>育苗前要对营养土进行结构调整，加入25%~ 30%腐熟的堆肥混拌均匀，然后再加入营养土调制剂。水稻育苗一般在4月上中旬，当日平均温度稳定通过5℃或夜间最低温度稳定通过0℃时适宜播种。有条件的地方应进行秋翻深翻(砂质土壤不宜深翻)，耕翻深度以15cm左右为宜；水源不足的稻田可采用旋耕法，旋耕深度要达到10~12cm；有机质含量高、水源又不足的地块可免耕。在插秧前进行精细整地，落差维持在2~3cm。</w:t>
      </w:r>
    </w:p>
    <w:p w14:paraId="4C60219F">
      <w:pPr>
        <w:rPr>
          <w:rFonts w:hint="eastAsia"/>
          <w:lang w:val="en-US" w:eastAsia="zh-CN"/>
        </w:rPr>
      </w:pPr>
      <w:r>
        <w:rPr>
          <w:rFonts w:hint="eastAsia"/>
          <w:lang w:val="en-US" w:eastAsia="zh-CN"/>
        </w:rPr>
        <w:t>应根据土壤肥力、目标产量和品种需肥规律开展测土配方施肥，有机肥和氮、磷、钾肥用量按照当地农业技术部门推荐方案执行。如果出穗后水稻长势不好，可喷施叶面肥作补充。禁止施用未经农业部门登记的肥料，禁止施用激素类肥料。</w:t>
      </w:r>
    </w:p>
    <w:p w14:paraId="61A2F1D2">
      <w:pPr>
        <w:rPr>
          <w:rFonts w:hint="eastAsia"/>
          <w:lang w:val="en-US" w:eastAsia="zh-CN"/>
        </w:rPr>
      </w:pPr>
      <w:r>
        <w:rPr>
          <w:rFonts w:hint="eastAsia"/>
          <w:lang w:val="en-US" w:eastAsia="zh-CN"/>
        </w:rPr>
        <w:t>5月下旬，采用宽窄行移栽，即宽行距与窄行距相间栽插，有利于群体通风透光，减轻水稻纹枯病、稻瘟病等病害的发生。</w:t>
      </w:r>
    </w:p>
    <w:p w14:paraId="0B2B6ED7">
      <w:pPr>
        <w:rPr>
          <w:rFonts w:hint="eastAsia"/>
          <w:lang w:val="en-US" w:eastAsia="zh-CN"/>
        </w:rPr>
      </w:pPr>
      <w:r>
        <w:rPr>
          <w:rFonts w:hint="eastAsia"/>
          <w:lang w:val="en-US" w:eastAsia="zh-CN"/>
        </w:rPr>
        <w:t>坚持“预防为主、综合防治”原则。要严格遵守绿色食品农药使用准则（NY/T393）的有关规定，选用低毒、低残留、安全、高效的农药，并严格执行其用量、安全间隔期等。依据T/CQZBJS 04水稻病虫草害绿色防控技术规程的方法针对主要病虫害对象进行防治。最好采用人工中耕除草，尽量减少化学型除草剂的使用，也可以在稻田放养鸭子(即稻鸭共养的生态栽培方法)。</w:t>
      </w:r>
    </w:p>
    <w:p w14:paraId="048CD1FA">
      <w:pPr>
        <w:rPr>
          <w:rFonts w:hint="eastAsia"/>
          <w:lang w:val="en-US" w:eastAsia="zh-CN"/>
        </w:rPr>
      </w:pPr>
      <w:r>
        <w:rPr>
          <w:rFonts w:hint="eastAsia"/>
          <w:lang w:val="en-US" w:eastAsia="zh-CN"/>
        </w:rPr>
        <w:t>依据籽粒变黄程度确定收获期，当籽粒的90%以上变黄成熟，穗轴有1/3 变黄，基部有很少一部分绿色籽粒存在时为最适收获期。水稻收割后应捆成小捆进行自然晾晒，并经常翻动，以降低稻谷的含水量。</w:t>
      </w:r>
    </w:p>
    <w:p w14:paraId="1125CEDE">
      <w:pPr>
        <w:rPr>
          <w:rFonts w:hint="eastAsia"/>
          <w:lang w:val="en-US" w:eastAsia="zh-CN"/>
        </w:rPr>
      </w:pPr>
      <w:r>
        <w:rPr>
          <w:rFonts w:hint="eastAsia"/>
          <w:lang w:val="en-US" w:eastAsia="zh-CN"/>
        </w:rPr>
        <w:t>稻谷水分下降到15%时再进行脱粒，可使其含水量保持在低水平。不同品种要分收、分储，禁止在公路、沥青路面及粉尘污染的地方脱粒、晒谷，运输、储藏、加工过程要符合无公害食品稻米加工技术规范（NY/T5190）的规定，以提高稻米加工及食品品质。</w:t>
      </w:r>
    </w:p>
    <w:p w14:paraId="5FA825FE">
      <w:pPr>
        <w:pStyle w:val="5"/>
        <w:bidi w:val="0"/>
        <w:rPr>
          <w:rFonts w:hint="eastAsia"/>
          <w:lang w:val="en-US" w:eastAsia="zh-CN"/>
        </w:rPr>
      </w:pPr>
      <w:bookmarkStart w:id="25" w:name="_Toc6275"/>
      <w:r>
        <w:rPr>
          <w:rFonts w:hint="eastAsia"/>
          <w:lang w:val="en-US" w:eastAsia="zh-CN"/>
        </w:rPr>
        <w:t>7  加工生产</w:t>
      </w:r>
      <w:bookmarkEnd w:id="25"/>
    </w:p>
    <w:p w14:paraId="11CADA2E">
      <w:pPr>
        <w:rPr>
          <w:rFonts w:hint="eastAsia"/>
          <w:lang w:val="en-US" w:eastAsia="zh-CN"/>
        </w:rPr>
      </w:pPr>
      <w:r>
        <w:rPr>
          <w:rFonts w:hint="eastAsia"/>
          <w:lang w:val="en-US" w:eastAsia="zh-CN"/>
        </w:rPr>
        <w:t>加工应采用清理、砻谷、碾米、白米分级、色选、包装等加工工艺，并有抛光工艺可选。大米加工用水应符合GB5749的要求。</w:t>
      </w:r>
    </w:p>
    <w:p w14:paraId="335A8491">
      <w:pPr>
        <w:rPr>
          <w:rFonts w:hint="eastAsia"/>
          <w:lang w:val="en-US" w:eastAsia="zh-CN"/>
        </w:rPr>
      </w:pPr>
      <w:r>
        <w:rPr>
          <w:rFonts w:hint="eastAsia"/>
          <w:lang w:val="en-US" w:eastAsia="zh-CN"/>
        </w:rPr>
        <w:t>加工质量指标见表1。</w:t>
      </w:r>
    </w:p>
    <w:p w14:paraId="56EDDFB3">
      <w:pPr>
        <w:jc w:val="center"/>
        <w:rPr>
          <w:rFonts w:hint="eastAsia"/>
          <w:lang w:val="en-US" w:eastAsia="zh-CN"/>
        </w:rPr>
      </w:pPr>
      <w:r>
        <w:rPr>
          <w:rFonts w:hint="eastAsia"/>
          <w:sz w:val="22"/>
          <w:szCs w:val="20"/>
          <w:lang w:val="en-US" w:eastAsia="zh-CN"/>
        </w:rPr>
        <w:t>表1 加工质量指标</w:t>
      </w:r>
    </w:p>
    <w:tbl>
      <w:tblPr>
        <w:tblStyle w:val="13"/>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1532"/>
        <w:gridCol w:w="1842"/>
        <w:gridCol w:w="1984"/>
        <w:gridCol w:w="1844"/>
      </w:tblGrid>
      <w:tr w14:paraId="1835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vAlign w:val="center"/>
          </w:tcPr>
          <w:p w14:paraId="6DE529A9">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项目</w:t>
            </w:r>
          </w:p>
        </w:tc>
        <w:tc>
          <w:tcPr>
            <w:tcW w:w="5670" w:type="dxa"/>
            <w:gridSpan w:val="3"/>
            <w:vAlign w:val="center"/>
          </w:tcPr>
          <w:p w14:paraId="36A2A231">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指标</w:t>
            </w:r>
          </w:p>
        </w:tc>
      </w:tr>
      <w:tr w14:paraId="5E1A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vAlign w:val="center"/>
          </w:tcPr>
          <w:p w14:paraId="71383FE1">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p>
        </w:tc>
        <w:tc>
          <w:tcPr>
            <w:tcW w:w="1842" w:type="dxa"/>
            <w:vAlign w:val="center"/>
          </w:tcPr>
          <w:p w14:paraId="15F79CAB">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特等</w:t>
            </w:r>
          </w:p>
        </w:tc>
        <w:tc>
          <w:tcPr>
            <w:tcW w:w="1984" w:type="dxa"/>
            <w:vAlign w:val="center"/>
          </w:tcPr>
          <w:p w14:paraId="5741FE66">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优质一等</w:t>
            </w:r>
          </w:p>
        </w:tc>
        <w:tc>
          <w:tcPr>
            <w:tcW w:w="1844" w:type="dxa"/>
            <w:vAlign w:val="center"/>
          </w:tcPr>
          <w:p w14:paraId="19C96453">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优质二等</w:t>
            </w:r>
          </w:p>
        </w:tc>
      </w:tr>
      <w:tr w14:paraId="2B70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vAlign w:val="center"/>
          </w:tcPr>
          <w:p w14:paraId="48080B92">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加工精度</w:t>
            </w:r>
          </w:p>
        </w:tc>
        <w:tc>
          <w:tcPr>
            <w:tcW w:w="5670" w:type="dxa"/>
            <w:gridSpan w:val="3"/>
            <w:vAlign w:val="center"/>
          </w:tcPr>
          <w:p w14:paraId="51F47D1E">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精碾</w:t>
            </w:r>
          </w:p>
        </w:tc>
      </w:tr>
      <w:tr w14:paraId="1FD0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vAlign w:val="center"/>
          </w:tcPr>
          <w:p w14:paraId="1F46C706">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黄粒米/%   ≤</w:t>
            </w:r>
          </w:p>
        </w:tc>
        <w:tc>
          <w:tcPr>
            <w:tcW w:w="1842" w:type="dxa"/>
            <w:vAlign w:val="center"/>
          </w:tcPr>
          <w:p w14:paraId="794E0013">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0.04</w:t>
            </w:r>
          </w:p>
        </w:tc>
        <w:tc>
          <w:tcPr>
            <w:tcW w:w="1984" w:type="dxa"/>
            <w:vAlign w:val="center"/>
          </w:tcPr>
          <w:p w14:paraId="57E9FB17">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0.1</w:t>
            </w:r>
          </w:p>
        </w:tc>
        <w:tc>
          <w:tcPr>
            <w:tcW w:w="1844" w:type="dxa"/>
            <w:vAlign w:val="center"/>
          </w:tcPr>
          <w:p w14:paraId="4065E35F">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0.2</w:t>
            </w:r>
          </w:p>
        </w:tc>
      </w:tr>
      <w:tr w14:paraId="7129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vAlign w:val="center"/>
          </w:tcPr>
          <w:p w14:paraId="1CE89D19">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不完善粒/% ≤</w:t>
            </w:r>
          </w:p>
        </w:tc>
        <w:tc>
          <w:tcPr>
            <w:tcW w:w="1842" w:type="dxa"/>
            <w:vAlign w:val="center"/>
          </w:tcPr>
          <w:p w14:paraId="22DF7CE9">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1.0</w:t>
            </w:r>
          </w:p>
        </w:tc>
        <w:tc>
          <w:tcPr>
            <w:tcW w:w="1984" w:type="dxa"/>
            <w:vAlign w:val="center"/>
          </w:tcPr>
          <w:p w14:paraId="667231A5">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1.5</w:t>
            </w:r>
          </w:p>
        </w:tc>
        <w:tc>
          <w:tcPr>
            <w:tcW w:w="1844" w:type="dxa"/>
            <w:vAlign w:val="center"/>
          </w:tcPr>
          <w:p w14:paraId="72C7AC4A">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p>
        </w:tc>
      </w:tr>
      <w:tr w14:paraId="205C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7" w:type="dxa"/>
            <w:vMerge w:val="restart"/>
            <w:vAlign w:val="center"/>
          </w:tcPr>
          <w:p w14:paraId="32CA3E8F">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杂质/% ≤</w:t>
            </w:r>
          </w:p>
        </w:tc>
        <w:tc>
          <w:tcPr>
            <w:tcW w:w="1532" w:type="dxa"/>
            <w:vAlign w:val="center"/>
          </w:tcPr>
          <w:p w14:paraId="6599E23D">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总量</w:t>
            </w:r>
          </w:p>
        </w:tc>
        <w:tc>
          <w:tcPr>
            <w:tcW w:w="1842" w:type="dxa"/>
            <w:vAlign w:val="center"/>
          </w:tcPr>
          <w:p w14:paraId="13CEBAE9">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0.04</w:t>
            </w:r>
          </w:p>
        </w:tc>
        <w:tc>
          <w:tcPr>
            <w:tcW w:w="1984" w:type="dxa"/>
            <w:vAlign w:val="center"/>
          </w:tcPr>
          <w:p w14:paraId="7CE530A4">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0.10</w:t>
            </w:r>
          </w:p>
        </w:tc>
        <w:tc>
          <w:tcPr>
            <w:tcW w:w="1844" w:type="dxa"/>
            <w:vAlign w:val="center"/>
          </w:tcPr>
          <w:p w14:paraId="7F880606">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0.20</w:t>
            </w:r>
          </w:p>
        </w:tc>
      </w:tr>
      <w:tr w14:paraId="3BAD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7" w:type="dxa"/>
            <w:vMerge w:val="continue"/>
            <w:vAlign w:val="center"/>
          </w:tcPr>
          <w:p w14:paraId="3891915C">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p>
        </w:tc>
        <w:tc>
          <w:tcPr>
            <w:tcW w:w="1532" w:type="dxa"/>
            <w:vAlign w:val="center"/>
          </w:tcPr>
          <w:p w14:paraId="40A1ECDF">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无机杂质含量</w:t>
            </w:r>
          </w:p>
        </w:tc>
        <w:tc>
          <w:tcPr>
            <w:tcW w:w="1842" w:type="dxa"/>
            <w:vAlign w:val="center"/>
          </w:tcPr>
          <w:p w14:paraId="43825309">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不应检出</w:t>
            </w:r>
          </w:p>
        </w:tc>
        <w:tc>
          <w:tcPr>
            <w:tcW w:w="1984" w:type="dxa"/>
            <w:vAlign w:val="center"/>
          </w:tcPr>
          <w:p w14:paraId="79B84739">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0.01</w:t>
            </w:r>
          </w:p>
        </w:tc>
        <w:tc>
          <w:tcPr>
            <w:tcW w:w="1844" w:type="dxa"/>
            <w:vAlign w:val="center"/>
          </w:tcPr>
          <w:p w14:paraId="2D91566F">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0.02</w:t>
            </w:r>
          </w:p>
        </w:tc>
      </w:tr>
      <w:tr w14:paraId="0DDC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7" w:type="dxa"/>
            <w:vMerge w:val="restart"/>
            <w:vAlign w:val="center"/>
          </w:tcPr>
          <w:p w14:paraId="678FF405">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碎米/% ≤</w:t>
            </w:r>
          </w:p>
        </w:tc>
        <w:tc>
          <w:tcPr>
            <w:tcW w:w="1532" w:type="dxa"/>
            <w:vAlign w:val="center"/>
          </w:tcPr>
          <w:p w14:paraId="189143E1">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总量</w:t>
            </w:r>
          </w:p>
        </w:tc>
        <w:tc>
          <w:tcPr>
            <w:tcW w:w="1842" w:type="dxa"/>
            <w:vAlign w:val="center"/>
          </w:tcPr>
          <w:p w14:paraId="17E5BCF9">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7.0</w:t>
            </w:r>
          </w:p>
        </w:tc>
        <w:tc>
          <w:tcPr>
            <w:tcW w:w="1984" w:type="dxa"/>
            <w:vAlign w:val="center"/>
          </w:tcPr>
          <w:p w14:paraId="638F52B4">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10.0</w:t>
            </w:r>
          </w:p>
        </w:tc>
        <w:tc>
          <w:tcPr>
            <w:tcW w:w="1844" w:type="dxa"/>
            <w:vAlign w:val="center"/>
          </w:tcPr>
          <w:p w14:paraId="0C64B0B7">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highlight w:val="none"/>
                <w:shd w:val="clear" w:color="auto" w:fill="auto"/>
              </w:rPr>
            </w:pPr>
            <w:r>
              <w:rPr>
                <w:rFonts w:hint="eastAsia" w:ascii="Calibri" w:hAnsi="Calibri"/>
                <w:color w:val="auto"/>
                <w:highlight w:val="none"/>
                <w:shd w:val="clear" w:color="auto" w:fill="auto"/>
              </w:rPr>
              <w:t>13.0</w:t>
            </w:r>
          </w:p>
        </w:tc>
      </w:tr>
      <w:tr w14:paraId="7C3F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7" w:type="dxa"/>
            <w:vMerge w:val="continue"/>
            <w:vAlign w:val="center"/>
          </w:tcPr>
          <w:p w14:paraId="2AD7D1F8">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p>
        </w:tc>
        <w:tc>
          <w:tcPr>
            <w:tcW w:w="1532" w:type="dxa"/>
            <w:vAlign w:val="center"/>
          </w:tcPr>
          <w:p w14:paraId="349ECE18">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小碎米</w:t>
            </w:r>
          </w:p>
        </w:tc>
        <w:tc>
          <w:tcPr>
            <w:tcW w:w="1842" w:type="dxa"/>
            <w:vAlign w:val="center"/>
          </w:tcPr>
          <w:p w14:paraId="4B552EA2">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0.1</w:t>
            </w:r>
          </w:p>
        </w:tc>
        <w:tc>
          <w:tcPr>
            <w:tcW w:w="1984" w:type="dxa"/>
            <w:vAlign w:val="center"/>
          </w:tcPr>
          <w:p w14:paraId="1DEAD45F">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0.2</w:t>
            </w:r>
          </w:p>
        </w:tc>
        <w:tc>
          <w:tcPr>
            <w:tcW w:w="1844" w:type="dxa"/>
            <w:vAlign w:val="center"/>
          </w:tcPr>
          <w:p w14:paraId="54E1F9FB">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color w:val="auto"/>
                <w:shd w:val="clear" w:color="auto" w:fill="auto"/>
              </w:rPr>
            </w:pPr>
            <w:r>
              <w:rPr>
                <w:rFonts w:hint="eastAsia" w:ascii="Calibri" w:hAnsi="Calibri"/>
                <w:color w:val="auto"/>
                <w:shd w:val="clear" w:color="auto" w:fill="auto"/>
              </w:rPr>
              <w:t>0.5</w:t>
            </w:r>
          </w:p>
        </w:tc>
      </w:tr>
      <w:tr w14:paraId="2021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59" w:type="dxa"/>
            <w:gridSpan w:val="5"/>
            <w:vAlign w:val="center"/>
          </w:tcPr>
          <w:p w14:paraId="6A858A8C">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注</w:t>
            </w:r>
            <w:r>
              <w:rPr>
                <w:rFonts w:ascii="Calibri" w:hAnsi="Calibri"/>
              </w:rPr>
              <w:t>:</w:t>
            </w:r>
            <w:r>
              <w:rPr>
                <w:rFonts w:hint="eastAsia" w:ascii="Calibri" w:hAnsi="Calibri"/>
              </w:rPr>
              <w:t>精碾为背沟基本无皮或有皮不成线，米胚和粒面皮层去净的占</w:t>
            </w:r>
            <w:r>
              <w:rPr>
                <w:rFonts w:ascii="Calibri" w:hAnsi="Calibri"/>
              </w:rPr>
              <w:t>85%</w:t>
            </w:r>
            <w:r>
              <w:rPr>
                <w:rFonts w:hint="eastAsia" w:ascii="Calibri" w:hAnsi="Calibri"/>
              </w:rPr>
              <w:t>以上。</w:t>
            </w:r>
          </w:p>
        </w:tc>
      </w:tr>
    </w:tbl>
    <w:p w14:paraId="3FF9A88B">
      <w:pPr>
        <w:rPr>
          <w:rFonts w:hint="eastAsia"/>
          <w:lang w:val="en-US" w:eastAsia="zh-CN"/>
        </w:rPr>
      </w:pPr>
    </w:p>
    <w:p w14:paraId="30EE7817">
      <w:pPr>
        <w:rPr>
          <w:rFonts w:hint="eastAsia"/>
          <w:lang w:val="en-US" w:eastAsia="zh-CN"/>
        </w:rPr>
      </w:pPr>
      <w:r>
        <w:rPr>
          <w:rFonts w:hint="eastAsia"/>
          <w:lang w:val="en-US" w:eastAsia="zh-CN"/>
        </w:rPr>
        <w:t>感官指标应有千塘稻米特有的清香气味；米粒应半透明或透明，色泽青白有光泽；熟制后，饭粒应饱满完整、明亮有光泽，带有米饭特有的米香或清香，滋味清甜，口感润滑、软硬适中有弹性。</w:t>
      </w:r>
    </w:p>
    <w:p w14:paraId="729DF3C7">
      <w:pPr>
        <w:rPr>
          <w:rFonts w:hint="eastAsia"/>
          <w:lang w:val="en-US" w:eastAsia="zh-CN"/>
        </w:rPr>
      </w:pPr>
      <w:r>
        <w:rPr>
          <w:rFonts w:hint="eastAsia"/>
          <w:lang w:val="en-US" w:eastAsia="zh-CN"/>
        </w:rPr>
        <w:t>理化指标见表2.</w:t>
      </w:r>
    </w:p>
    <w:p w14:paraId="7C0FC032">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sz w:val="22"/>
          <w:szCs w:val="20"/>
          <w:lang w:val="en-US" w:eastAsia="zh-CN"/>
        </w:rPr>
      </w:pPr>
      <w:r>
        <w:rPr>
          <w:rFonts w:hint="eastAsia"/>
          <w:sz w:val="22"/>
          <w:szCs w:val="20"/>
          <w:lang w:val="en-US" w:eastAsia="zh-CN"/>
        </w:rPr>
        <w:t>表2 理化指标</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9"/>
        <w:gridCol w:w="1767"/>
        <w:gridCol w:w="1701"/>
        <w:gridCol w:w="1559"/>
      </w:tblGrid>
      <w:tr w14:paraId="57EF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Merge w:val="restart"/>
            <w:vAlign w:val="center"/>
          </w:tcPr>
          <w:p w14:paraId="1E47EE1D">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项目</w:t>
            </w:r>
          </w:p>
        </w:tc>
        <w:tc>
          <w:tcPr>
            <w:tcW w:w="5027" w:type="dxa"/>
            <w:gridSpan w:val="3"/>
            <w:vAlign w:val="center"/>
          </w:tcPr>
          <w:p w14:paraId="78B9B877">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指标</w:t>
            </w:r>
          </w:p>
        </w:tc>
      </w:tr>
      <w:tr w14:paraId="4096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Merge w:val="continue"/>
            <w:vAlign w:val="center"/>
          </w:tcPr>
          <w:p w14:paraId="2238E5E7">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p>
        </w:tc>
        <w:tc>
          <w:tcPr>
            <w:tcW w:w="1767" w:type="dxa"/>
            <w:vAlign w:val="center"/>
          </w:tcPr>
          <w:p w14:paraId="7BD8987F">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特等</w:t>
            </w:r>
          </w:p>
        </w:tc>
        <w:tc>
          <w:tcPr>
            <w:tcW w:w="1701" w:type="dxa"/>
            <w:vAlign w:val="center"/>
          </w:tcPr>
          <w:p w14:paraId="3F5F2836">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优质一等</w:t>
            </w:r>
          </w:p>
        </w:tc>
        <w:tc>
          <w:tcPr>
            <w:tcW w:w="1559" w:type="dxa"/>
            <w:vAlign w:val="center"/>
          </w:tcPr>
          <w:p w14:paraId="354C778E">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优质二等</w:t>
            </w:r>
          </w:p>
        </w:tc>
      </w:tr>
      <w:tr w14:paraId="3AB6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14:paraId="20985024">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水分/%  ≤</w:t>
            </w:r>
          </w:p>
        </w:tc>
        <w:tc>
          <w:tcPr>
            <w:tcW w:w="5027" w:type="dxa"/>
            <w:gridSpan w:val="3"/>
            <w:vAlign w:val="center"/>
          </w:tcPr>
          <w:p w14:paraId="3162E9F7">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15.5</w:t>
            </w:r>
          </w:p>
        </w:tc>
      </w:tr>
      <w:tr w14:paraId="43ED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14:paraId="6978FB42">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垩白度/%  ≤</w:t>
            </w:r>
          </w:p>
        </w:tc>
        <w:tc>
          <w:tcPr>
            <w:tcW w:w="1767" w:type="dxa"/>
            <w:vAlign w:val="center"/>
          </w:tcPr>
          <w:p w14:paraId="614BFDE6">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2</w:t>
            </w:r>
          </w:p>
        </w:tc>
        <w:tc>
          <w:tcPr>
            <w:tcW w:w="1701" w:type="dxa"/>
            <w:vAlign w:val="center"/>
          </w:tcPr>
          <w:p w14:paraId="3B58421D">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4</w:t>
            </w:r>
          </w:p>
        </w:tc>
        <w:tc>
          <w:tcPr>
            <w:tcW w:w="1559" w:type="dxa"/>
            <w:vAlign w:val="center"/>
          </w:tcPr>
          <w:p w14:paraId="1E9DE424">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highlight w:val="none"/>
              </w:rPr>
            </w:pPr>
            <w:r>
              <w:rPr>
                <w:rFonts w:hint="eastAsia" w:ascii="Calibri" w:hAnsi="Calibri"/>
                <w:highlight w:val="none"/>
                <w:shd w:val="clear"/>
              </w:rPr>
              <w:t>5</w:t>
            </w:r>
          </w:p>
        </w:tc>
      </w:tr>
      <w:tr w14:paraId="0FB9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14:paraId="79E691E9">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直链淀粉（干基）/%  ≥</w:t>
            </w:r>
          </w:p>
        </w:tc>
        <w:tc>
          <w:tcPr>
            <w:tcW w:w="5027" w:type="dxa"/>
            <w:gridSpan w:val="3"/>
            <w:vAlign w:val="center"/>
          </w:tcPr>
          <w:p w14:paraId="59FAD974">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15~20</w:t>
            </w:r>
          </w:p>
        </w:tc>
      </w:tr>
      <w:tr w14:paraId="0BCB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14:paraId="6CFB85E8">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胶稠度/mm  ≥</w:t>
            </w:r>
          </w:p>
        </w:tc>
        <w:tc>
          <w:tcPr>
            <w:tcW w:w="1767" w:type="dxa"/>
            <w:vAlign w:val="center"/>
          </w:tcPr>
          <w:p w14:paraId="0DEB027E">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highlight w:val="none"/>
              </w:rPr>
            </w:pPr>
            <w:r>
              <w:rPr>
                <w:rFonts w:hint="eastAsia" w:ascii="Calibri" w:hAnsi="Calibri"/>
                <w:color w:val="auto"/>
                <w:highlight w:val="none"/>
              </w:rPr>
              <w:t>75</w:t>
            </w:r>
          </w:p>
        </w:tc>
        <w:tc>
          <w:tcPr>
            <w:tcW w:w="1701" w:type="dxa"/>
            <w:vAlign w:val="center"/>
          </w:tcPr>
          <w:p w14:paraId="53A64CAD">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highlight w:val="none"/>
              </w:rPr>
            </w:pPr>
            <w:r>
              <w:rPr>
                <w:rFonts w:hint="eastAsia" w:ascii="Calibri" w:hAnsi="Calibri"/>
                <w:highlight w:val="none"/>
              </w:rPr>
              <w:t>70</w:t>
            </w:r>
          </w:p>
        </w:tc>
        <w:tc>
          <w:tcPr>
            <w:tcW w:w="1559" w:type="dxa"/>
            <w:vAlign w:val="center"/>
          </w:tcPr>
          <w:p w14:paraId="307B25F8">
            <w:pPr>
              <w:pStyle w:val="18"/>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Calibri" w:hAnsi="Calibri"/>
              </w:rPr>
            </w:pPr>
            <w:r>
              <w:rPr>
                <w:rFonts w:hint="eastAsia" w:ascii="Calibri" w:hAnsi="Calibri"/>
              </w:rPr>
              <w:t>65</w:t>
            </w:r>
          </w:p>
        </w:tc>
      </w:tr>
    </w:tbl>
    <w:p w14:paraId="4F7C6EC2">
      <w:pPr>
        <w:rPr>
          <w:rFonts w:hint="eastAsia"/>
          <w:lang w:val="en-US" w:eastAsia="zh-CN"/>
        </w:rPr>
      </w:pPr>
    </w:p>
    <w:p w14:paraId="7E3400A5">
      <w:pPr>
        <w:rPr>
          <w:rFonts w:hint="eastAsia"/>
          <w:lang w:val="en-US" w:eastAsia="zh-CN"/>
        </w:rPr>
      </w:pPr>
      <w:r>
        <w:rPr>
          <w:rFonts w:hint="eastAsia"/>
          <w:lang w:val="en-US" w:eastAsia="zh-CN"/>
        </w:rPr>
        <w:t>卫生标准应符合GB2762、GB2763的有关规定。</w:t>
      </w:r>
    </w:p>
    <w:p w14:paraId="6278DA48">
      <w:pPr>
        <w:rPr>
          <w:rFonts w:hint="eastAsia"/>
          <w:lang w:val="en-US" w:eastAsia="zh-CN"/>
        </w:rPr>
      </w:pPr>
      <w:r>
        <w:rPr>
          <w:rFonts w:hint="eastAsia"/>
          <w:lang w:val="en-US" w:eastAsia="zh-CN"/>
        </w:rPr>
        <w:t>加工企业监控生产加工过程，进行检验控制，加工厂应有适应的检验(化验)室和检验设备，检验人员应对稻谷进厂、加工直至成品大米出厂全过程进行监督检查，重点做好稻谷验收、半成品检验应有原始记录，原始记录的格式应规范、填写认真、字迹清楚、各项原始记录按规定保存。</w:t>
      </w:r>
    </w:p>
    <w:p w14:paraId="5665F6BD">
      <w:pPr>
        <w:rPr>
          <w:rFonts w:hint="eastAsia"/>
          <w:lang w:val="en-US" w:eastAsia="zh-CN"/>
        </w:rPr>
      </w:pPr>
      <w:r>
        <w:rPr>
          <w:rFonts w:hint="eastAsia"/>
          <w:lang w:val="en-US" w:eastAsia="zh-CN"/>
        </w:rPr>
        <w:t>加工企业应制定质量方针，各个岗位应有完善的管理制度，即从稻谷购入到成品大米出厂的质量管理制度，对各项制度应保证运行有效。人员健康、设备、稻谷、成品大米档案，稻谷产地环境和生产技术档案，生产车间的交接班记录，检验室计量器具档案和使用记录，检验报告及记录等都需具备并妥善保存。</w:t>
      </w:r>
    </w:p>
    <w:p w14:paraId="770C5A7B">
      <w:pPr>
        <w:rPr>
          <w:rFonts w:hint="eastAsia"/>
          <w:lang w:val="en-US" w:eastAsia="zh-CN"/>
        </w:rPr>
      </w:pPr>
      <w:r>
        <w:rPr>
          <w:rFonts w:hint="eastAsia"/>
          <w:lang w:val="en-US" w:eastAsia="zh-CN"/>
        </w:rPr>
        <w:t>应进行稻谷、成品大米加工质量的检验，对成品大米卫生指标的检验应由省级以上认可的检验机构承担。检查加工企业应定期评审管理制度实施情况，对生产车间每月进行一次制度实施检查，对成品库每月进行一次制度实施检查，在原粮购入旺季每周进行一次稻谷购入制度检查，以上的检查应有记录并存档。</w:t>
      </w:r>
    </w:p>
    <w:p w14:paraId="45F251BA">
      <w:pPr>
        <w:rPr>
          <w:rFonts w:hint="eastAsia"/>
          <w:lang w:val="en-US" w:eastAsia="zh-CN"/>
        </w:rPr>
      </w:pPr>
      <w:r>
        <w:rPr>
          <w:rFonts w:hint="eastAsia"/>
          <w:lang w:val="en-US" w:eastAsia="zh-CN"/>
        </w:rPr>
        <w:t>加工精度按GB/T5502执行。黄粒米按GB/T 35881 执行。杂质、不完善粒按GB/T5494执行。碎米按GB/T5503执行。感官要求按GB/T5492执行。水分按GB5009.3执行。垩白度按GB/T1354执行。直链淀粉按GB/T15683执行。胶稠度按GB/T22294执行。</w:t>
      </w:r>
    </w:p>
    <w:p w14:paraId="3C031C24">
      <w:pPr>
        <w:rPr>
          <w:rFonts w:hint="eastAsia"/>
          <w:lang w:val="en-US" w:eastAsia="zh-CN"/>
        </w:rPr>
      </w:pPr>
      <w:r>
        <w:rPr>
          <w:rFonts w:hint="eastAsia"/>
          <w:lang w:val="en-US" w:eastAsia="zh-CN"/>
        </w:rPr>
        <w:t>包装及标识都要符合国家标准：粮食销售包装（GB17109）的有关规定。加工后的成品米需降温在7℃~30℃区间内方可包装；包装大米的器具应专用、不得污染，应坚固、清洁、干燥、无任何昆虫传播、真菌污染及不良气味；打包间的落地米不得直接包装出厂；包装容器封口严密，不得破损、泄漏；出厂产品应附有厂检验部门签发的合格证，合格证应使用无毒材质制成。优质精制米、营养配制米采用1kg、1.5kg的纸袋、纸盒等普通超小型包装，有利于大米保鲜。</w:t>
      </w:r>
    </w:p>
    <w:p w14:paraId="6DDB6860">
      <w:pPr>
        <w:rPr>
          <w:rFonts w:hint="eastAsia"/>
          <w:lang w:val="en-US" w:eastAsia="zh-CN"/>
        </w:rPr>
      </w:pPr>
      <w:r>
        <w:rPr>
          <w:rFonts w:hint="eastAsia"/>
          <w:lang w:val="en-US" w:eastAsia="zh-CN"/>
        </w:rPr>
        <w:t>运输工具、车辆必须清洁、卫生、干燥，无其他污染物。在运输过程中必须遮盖，防雨、防雪、防晒，严禁与有毒有害和有异味的物品混运。</w:t>
      </w:r>
    </w:p>
    <w:p w14:paraId="032D6A01">
      <w:pPr>
        <w:rPr>
          <w:rFonts w:hint="eastAsia"/>
          <w:lang w:val="en-US" w:eastAsia="zh-CN"/>
        </w:rPr>
      </w:pPr>
      <w:r>
        <w:rPr>
          <w:rFonts w:hint="eastAsia"/>
          <w:lang w:val="en-US" w:eastAsia="zh-CN"/>
        </w:rPr>
        <w:t>贮存稻谷和成品大米贮存库房应清洁，干燥、通风、无鼠虫害。严禁与有毒、有害、有腐蚀性、易发霉、发潮、有异味的物品同仓库存放。</w:t>
      </w:r>
    </w:p>
    <w:p w14:paraId="44CFBB02">
      <w:pPr>
        <w:pStyle w:val="5"/>
        <w:bidi w:val="0"/>
        <w:rPr>
          <w:rFonts w:hint="eastAsia"/>
          <w:lang w:val="en-US" w:eastAsia="zh-CN"/>
        </w:rPr>
      </w:pPr>
      <w:bookmarkStart w:id="26" w:name="_Toc25011"/>
      <w:r>
        <w:rPr>
          <w:rFonts w:hint="eastAsia"/>
          <w:lang w:val="en-US" w:eastAsia="zh-CN"/>
        </w:rPr>
        <w:t>8  销售</w:t>
      </w:r>
      <w:bookmarkEnd w:id="26"/>
    </w:p>
    <w:p w14:paraId="4E1C10C2">
      <w:pPr>
        <w:rPr>
          <w:rFonts w:hint="eastAsia"/>
          <w:lang w:val="en-US" w:eastAsia="zh-CN"/>
        </w:rPr>
      </w:pPr>
      <w:r>
        <w:rPr>
          <w:rFonts w:hint="eastAsia"/>
          <w:lang w:val="en-US" w:eastAsia="zh-CN"/>
        </w:rPr>
        <w:t>为确保“千塘稻”的市场公信力与品牌价值，需严格遵循相关机构的授权要求，并建立完整的资质管理体系。</w:t>
      </w:r>
    </w:p>
    <w:p w14:paraId="33BBA76B">
      <w:pPr>
        <w:rPr>
          <w:rFonts w:hint="eastAsia"/>
          <w:lang w:val="en-US" w:eastAsia="zh-CN"/>
        </w:rPr>
      </w:pPr>
      <w:r>
        <w:rPr>
          <w:rFonts w:hint="eastAsia"/>
          <w:lang w:val="en-US" w:eastAsia="zh-CN"/>
        </w:rPr>
        <w:t>由磐石市农业农村局对申请企业的“千塘稻”种植、加工、仓储等环节进行审核，符合千塘稻的标准后颁发授权证书。</w:t>
      </w:r>
    </w:p>
    <w:p w14:paraId="0375E03C">
      <w:pPr>
        <w:rPr>
          <w:rFonts w:hint="eastAsia"/>
          <w:lang w:val="en-US" w:eastAsia="zh-CN"/>
        </w:rPr>
      </w:pPr>
      <w:r>
        <w:rPr>
          <w:rFonts w:hint="eastAsia"/>
          <w:lang w:val="en-US" w:eastAsia="zh-CN"/>
        </w:rPr>
        <w:t>企业就“千塘稻”的包装、展示文字内容（logo、二维码等）需要向中国地理学会申请进行备案，确保其符合地理标志产品的视觉识别标准。借助中国地理学会的权威性，增强产品的科学可信度，突出其产地特色与生态价值。</w:t>
      </w:r>
    </w:p>
    <w:p w14:paraId="20BD222F">
      <w:pPr>
        <w:rPr>
          <w:rFonts w:hint="eastAsia"/>
          <w:lang w:val="en-US" w:eastAsia="zh-CN"/>
        </w:rPr>
      </w:pPr>
      <w:r>
        <w:rPr>
          <w:rFonts w:hint="eastAsia"/>
          <w:lang w:val="en-US" w:eastAsia="zh-CN"/>
        </w:rPr>
        <w:t>产品包装上需具备“千塘稻”生境保护与可持续发展案例、生境实时监测二维码以及溯源二维码（包含种植、加工、检测等全流程信息），同时必须标识优质地理产品“千塘稻”中国科技资源注册号（CSTR）、国际数字化注册号（DOI）及世界数据中心编号，以便于消费者进行产品溯源和识别真伪。</w:t>
      </w:r>
    </w:p>
    <w:p w14:paraId="68FA79B3">
      <w:pPr>
        <w:pStyle w:val="5"/>
        <w:bidi w:val="0"/>
        <w:rPr>
          <w:rFonts w:hint="eastAsia"/>
          <w:lang w:val="en-US" w:eastAsia="zh-CN"/>
        </w:rPr>
      </w:pPr>
      <w:bookmarkStart w:id="27" w:name="_Toc19925"/>
      <w:r>
        <w:rPr>
          <w:rFonts w:hint="eastAsia"/>
          <w:lang w:val="en-US" w:eastAsia="zh-CN"/>
        </w:rPr>
        <w:t>9  管理</w:t>
      </w:r>
      <w:bookmarkEnd w:id="27"/>
    </w:p>
    <w:p w14:paraId="32909365">
      <w:pPr>
        <w:rPr>
          <w:rFonts w:hint="eastAsia"/>
          <w:lang w:val="en-US" w:eastAsia="zh-CN"/>
        </w:rPr>
      </w:pPr>
      <w:r>
        <w:rPr>
          <w:rFonts w:hint="eastAsia"/>
          <w:lang w:val="en-US" w:eastAsia="zh-CN"/>
        </w:rPr>
        <w:t>构建多层级、专业化的工作团队，明确权责边界与协作机制，确保磐石千塘稻从生产到销售的全链条管理责任到人。领导小组统筹行政资源与政策支持，技术团队提供科学支撑与执行保障，形成“政府引导+专家指导+属地落实”的协同体系，解决跨部门协作低效、技术标准执行偏差等问题，为标准化建设提供组织保障。</w:t>
      </w:r>
    </w:p>
    <w:p w14:paraId="1CF5C66C">
      <w:pPr>
        <w:rPr>
          <w:rFonts w:hint="eastAsia"/>
          <w:lang w:val="en-US" w:eastAsia="zh-CN"/>
        </w:rPr>
      </w:pPr>
      <w:r>
        <w:rPr>
          <w:rFonts w:hint="eastAsia"/>
          <w:lang w:val="en-US" w:eastAsia="zh-CN"/>
        </w:rPr>
        <w:t>对未按照“千塘稻”加工标准的、超范围种植的、使用非标投入品的企业，取消授权资格并摘牌，相关信息纳入信用黑名单，公示期≥2年。</w:t>
      </w:r>
    </w:p>
    <w:p w14:paraId="67D785A7">
      <w:pPr>
        <w:pStyle w:val="3"/>
        <w:bidi w:val="0"/>
        <w:rPr>
          <w:rFonts w:hint="eastAsia"/>
        </w:rPr>
      </w:pPr>
      <w:bookmarkStart w:id="28" w:name="bookmark15"/>
      <w:bookmarkEnd w:id="28"/>
      <w:bookmarkStart w:id="29" w:name="_Toc2165"/>
      <w:bookmarkStart w:id="30" w:name="_Toc17934"/>
      <w:r>
        <w:rPr>
          <w:rFonts w:hint="eastAsia"/>
        </w:rPr>
        <w:t>三 、主要试验 （或验证） 情况分析</w:t>
      </w:r>
      <w:bookmarkEnd w:id="29"/>
      <w:bookmarkEnd w:id="30"/>
    </w:p>
    <w:p w14:paraId="6055C566">
      <w:pPr>
        <w:bidi w:val="0"/>
        <w:rPr>
          <w:rFonts w:hint="eastAsia"/>
        </w:rPr>
      </w:pPr>
      <w:r>
        <w:rPr>
          <w:rFonts w:hint="eastAsia"/>
          <w:lang w:val="en-US" w:eastAsia="zh-CN"/>
        </w:rPr>
        <w:t>为</w:t>
      </w:r>
      <w:r>
        <w:rPr>
          <w:rFonts w:hint="eastAsia"/>
        </w:rPr>
        <w:t>科学说明《地标生境 吉林磐石千塘稻永久基本农田案例》主要技术内容的数据基础，编制组采用空间分析、自动监测、实地采样、实验室检测、品种资料整理和生产管理调查等方法，对案例区范围、气候、黑土地土壤环境、水资源与灌溉水质、水稻品种、大米品质及标准实施基础进行了验证。</w:t>
      </w:r>
      <w:r>
        <w:rPr>
          <w:rFonts w:hint="eastAsia"/>
          <w:lang w:val="en-US" w:eastAsia="zh-CN"/>
        </w:rPr>
        <w:t>研究数据</w:t>
      </w:r>
      <w:r>
        <w:rPr>
          <w:rFonts w:hint="eastAsia"/>
        </w:rPr>
        <w:t>由案例范围、自然地理、品种特性、经营管理以及自然特色与历史文化传统等5个数据文件包组成，数据量为22.4 MB，为本标准相关条款的确定提供了较系统的数据支撑。</w:t>
      </w:r>
    </w:p>
    <w:p w14:paraId="7D84290D">
      <w:pPr>
        <w:bidi w:val="0"/>
        <w:rPr>
          <w:rFonts w:hint="eastAsia"/>
        </w:rPr>
      </w:pPr>
      <w:r>
        <w:rPr>
          <w:rFonts w:hint="eastAsia"/>
        </w:rPr>
        <w:t>（一）案例范围与千塘水田空间格局验证</w:t>
      </w:r>
    </w:p>
    <w:p w14:paraId="2D49A0CB">
      <w:pPr>
        <w:bidi w:val="0"/>
        <w:rPr>
          <w:rFonts w:hint="eastAsia"/>
        </w:rPr>
      </w:pPr>
      <w:r>
        <w:rPr>
          <w:rFonts w:hint="eastAsia"/>
        </w:rPr>
        <w:t>案例区以磐石市34个二级子流域内具有代表性的水稻田为主要对象，水稻田面积为17 787 hm²。水田主要分布在水库、塘坝下游及地势相对低洼区域，利用自然降水、融雪水以及水库和塘坝蓄水进行灌溉，形成水田、水库、塘坝、河流和周边丘陵相互联系的农业生境格局。空间分布资料表明，磐石千塘稻并非单一连片水田，而是依托不同子流域水系和塘坝形成的分散式水田系统，</w:t>
      </w:r>
    </w:p>
    <w:p w14:paraId="6986A2B3">
      <w:pPr>
        <w:bidi w:val="0"/>
        <w:rPr>
          <w:rFonts w:hint="eastAsia"/>
        </w:rPr>
      </w:pPr>
      <w:r>
        <w:rPr>
          <w:rFonts w:hint="eastAsia"/>
        </w:rPr>
        <w:t>（二）气候条件与生境自动监测验证</w:t>
      </w:r>
    </w:p>
    <w:p w14:paraId="519E7967">
      <w:pPr>
        <w:bidi w:val="0"/>
        <w:rPr>
          <w:rFonts w:hint="eastAsia"/>
        </w:rPr>
      </w:pPr>
      <w:r>
        <w:rPr>
          <w:rFonts w:hint="eastAsia"/>
        </w:rPr>
        <w:t>磐石市属于温带大陆性季风气候，春季干旱多风，夏季温热多雨，秋季昼夜温差较大，冬季漫长寒冷。区域年平均气温为4.6 ℃，≥10 ℃年积温为2 578～3 093 ℃，年平均降水量为699.6 mm，降水主要集中在6—8月；全年日照时数为2 491.2 h，年平均无霜期为125 d，年极端最低温度为−42.6 ℃，年极端最高温度为36.1 ℃。上述气候条件能够反映东北丘陵半山区水稻生产的光热水资源特征，可为标准中的气候条件、水稻生育期安排和品种熟期选择提供依据。</w:t>
      </w:r>
    </w:p>
    <w:p w14:paraId="3919D755">
      <w:pPr>
        <w:bidi w:val="0"/>
        <w:rPr>
          <w:rFonts w:hint="eastAsia"/>
        </w:rPr>
      </w:pPr>
      <w:r>
        <w:rPr>
          <w:rFonts w:hint="eastAsia"/>
        </w:rPr>
        <w:t>案例区已布设10个产品生境自动观测站，分布于兰家村、宝山红果、黄河、亚吉、磐海、五四、官马、人和、东方红和柳杨等区域，监测内容包括水质、土壤、气象、植被和病虫害等。自动观测站为持续掌握水稻生长环境、开展标准实施监测和评价提供了技术基础。</w:t>
      </w:r>
    </w:p>
    <w:p w14:paraId="0547607D">
      <w:pPr>
        <w:bidi w:val="0"/>
        <w:rPr>
          <w:rFonts w:hint="eastAsia"/>
        </w:rPr>
      </w:pPr>
      <w:r>
        <w:rPr>
          <w:rFonts w:hint="eastAsia"/>
        </w:rPr>
        <w:t>（三）黑土地土壤环境与肥力验证</w:t>
      </w:r>
    </w:p>
    <w:p w14:paraId="020C9773">
      <w:pPr>
        <w:bidi w:val="0"/>
        <w:rPr>
          <w:rFonts w:hint="eastAsia"/>
        </w:rPr>
      </w:pPr>
      <w:r>
        <w:rPr>
          <w:rFonts w:hint="eastAsia"/>
        </w:rPr>
        <w:t>案例区水田土壤主要为草甸土和暗棕壤等黑土类型。研究采集了39个水稻田表层土壤样品，由中国科学院地理科学与资源研究所理化分析中心检测土壤氮、碳、碳氮比、有机质及重金属等指标。检测结果表明，土壤氮含量为0.12%～0.48%，平均值为0.21%；碳含量为1.16%～7.11%，平均值为2.20%；碳氮比为9.63～14.81，平均值为10.72；有机质含量为1.89%～12.49%，平均值为3.68%。结果说明案例区水田土壤有机质总体较为丰富，但不同样点之间仍存在一定差异。</w:t>
      </w:r>
    </w:p>
    <w:p w14:paraId="4E7041B2">
      <w:pPr>
        <w:bidi w:val="0"/>
        <w:rPr>
          <w:rFonts w:hint="eastAsia"/>
        </w:rPr>
      </w:pPr>
      <w:r>
        <w:rPr>
          <w:rFonts w:hint="eastAsia"/>
        </w:rPr>
        <w:t>土壤重金属检测结果显示，铜、镍、锌、汞、砷、铅和铬等指标的样品最大值分别为33.28 mg/kg、52.23 mg/kg、133.07 mg/kg、0.06 mg/kg、14.98 mg/kg、79.92 mg/kg和138.36 mg/kg，均低于GB 15618—2018中相应水田农用地土壤污染风险筛选值。因此，案例区土壤环境质量总体安全，能够支撑标准中黑土地保护、土壤环境质量和有机质维护等要求。</w:t>
      </w:r>
    </w:p>
    <w:p w14:paraId="05FB51B5">
      <w:pPr>
        <w:bidi w:val="0"/>
        <w:rPr>
          <w:rFonts w:hint="eastAsia"/>
        </w:rPr>
      </w:pPr>
      <w:r>
        <w:rPr>
          <w:rFonts w:hint="eastAsia"/>
        </w:rPr>
        <w:t>（四）水资源条件与灌溉水质验证</w:t>
      </w:r>
    </w:p>
    <w:p w14:paraId="6ABA6741">
      <w:pPr>
        <w:bidi w:val="0"/>
        <w:rPr>
          <w:rFonts w:hint="eastAsia"/>
        </w:rPr>
      </w:pPr>
      <w:r>
        <w:rPr>
          <w:rFonts w:hint="eastAsia"/>
        </w:rPr>
        <w:t>磐石市多年平均水资源总量为8.93亿m³，其中地表水资源量为7.81亿m³，地下水资源量为1.12亿m³，地下水可开采量为0.61亿m³。境内共有大小河流65条，流域面积3 867.31 km²。全市建有蓄水工程794座，包括中型水库4座、小（Ⅰ）型水库23座、小（Ⅱ）型水库133座和塘坝634座，总蓄水能力约1.3亿m³。上述水系和蓄水工程构成了千塘稻水田的重要灌溉保障，也形成了“水库—塘坝—水田”相互联系的典型生境。</w:t>
      </w:r>
    </w:p>
    <w:p w14:paraId="12CD6920">
      <w:pPr>
        <w:bidi w:val="0"/>
        <w:rPr>
          <w:rFonts w:hint="eastAsia"/>
        </w:rPr>
      </w:pPr>
      <w:r>
        <w:rPr>
          <w:rFonts w:hint="eastAsia"/>
        </w:rPr>
        <w:t>研究对地下水、水库水和降雪样品进行了水质检测，检测内容包括铝、砷、硼、镉、铬、铜、铁、锰、镍、铅、硒、硫酸根等25种元素和离子。论文比较结果表明，各项检测值均优于研究采用的城市饮用水供水标准限值，说明案例区主要灌溉水源水质较好。该结果能够支撑标准中灌溉水质量和水源保护条款。</w:t>
      </w:r>
    </w:p>
    <w:p w14:paraId="3123071A">
      <w:pPr>
        <w:bidi w:val="0"/>
        <w:rPr>
          <w:rFonts w:hint="eastAsia"/>
        </w:rPr>
      </w:pPr>
      <w:r>
        <w:rPr>
          <w:rFonts w:hint="eastAsia"/>
        </w:rPr>
        <w:t>（五）水稻品种适应性资料验证</w:t>
      </w:r>
    </w:p>
    <w:p w14:paraId="38ACD089">
      <w:pPr>
        <w:bidi w:val="0"/>
        <w:rPr>
          <w:rFonts w:hint="eastAsia"/>
        </w:rPr>
      </w:pPr>
      <w:r>
        <w:rPr>
          <w:rFonts w:hint="eastAsia"/>
        </w:rPr>
        <w:t>结合当地种植习惯、积温条件和稻米品质，案例优选稻花香2号、长乐520、吉农大667、吉大粳稻518、通育269和吉宏6号等6个水稻品种。相关品种资料显示，6个品种的生育期约为136～143 d，所需≥10 ℃积温约为2 700～2 850 ℃，产量约为7 300～10 000 kg/hm²，并在株型、分蘖、结实率、抗倒伏、稻瘟病和纹枯病抗性等方面具有不同特点。</w:t>
      </w:r>
    </w:p>
    <w:p w14:paraId="694F3711">
      <w:pPr>
        <w:bidi w:val="0"/>
        <w:rPr>
          <w:rFonts w:hint="eastAsia"/>
        </w:rPr>
      </w:pPr>
      <w:r>
        <w:rPr>
          <w:rFonts w:hint="eastAsia"/>
        </w:rPr>
        <w:t>上述品种的熟期与积温需求可为品种选择和熟期配置提供参考。但部分数据来源于品种报告和多年鉴定资料，并非磐石同年度、同一管理条件下的统一比较试验。</w:t>
      </w:r>
    </w:p>
    <w:p w14:paraId="361CA5FB">
      <w:pPr>
        <w:bidi w:val="0"/>
        <w:rPr>
          <w:rFonts w:hint="eastAsia"/>
        </w:rPr>
      </w:pPr>
      <w:r>
        <w:rPr>
          <w:rFonts w:hint="eastAsia"/>
        </w:rPr>
        <w:t>（六）稻谷和大米品质验证</w:t>
      </w:r>
    </w:p>
    <w:p w14:paraId="3839D889">
      <w:pPr>
        <w:bidi w:val="0"/>
        <w:rPr>
          <w:rFonts w:hint="eastAsia"/>
        </w:rPr>
      </w:pPr>
      <w:r>
        <w:rPr>
          <w:rFonts w:hint="eastAsia"/>
        </w:rPr>
        <w:t>案例产品品质数据来自农业农村部谷物及制品质量监督检验测试中心和江苏实朴检测服务有限公司对稻谷和大米样品的检测。6份稻谷样品的垩白粒率为3.5%～8.0%，垩白度为1.4%～4.0%，胶稠度为81～98 mm，直链淀粉含量为13.2%～17.1%，千粒重为18.0～23.2 g。</w:t>
      </w:r>
    </w:p>
    <w:p w14:paraId="24CF88E6">
      <w:pPr>
        <w:bidi w:val="0"/>
        <w:rPr>
          <w:rFonts w:hint="eastAsia"/>
        </w:rPr>
      </w:pPr>
      <w:r>
        <w:rPr>
          <w:rFonts w:hint="eastAsia"/>
        </w:rPr>
        <w:t>按照研究时采用的GB 17891—2017《优质稻谷》进行比较，除稻花香2号样品的垩白度达到二级优质稻谷要求外，其余5个样品的垩白度均达到一级优质稻谷要求。与研究时采用的五常大米和盘锦大米相关标准相比，磐石千塘稻样品在垩白粒率、垩白度和胶稠度方面均达到较好水平；直链淀粉含量方面，吉大粳稻518、吉宏6号、吉农大667和长乐520与相关标准规定范围相当，通育269和稻花香2号略低。上述结果能够为标准中稻谷和大米品质指标的设置提供实测依据。</w:t>
      </w:r>
    </w:p>
    <w:p w14:paraId="28654DEF">
      <w:pPr>
        <w:bidi w:val="0"/>
        <w:rPr>
          <w:rFonts w:hint="eastAsia"/>
        </w:rPr>
      </w:pPr>
      <w:r>
        <w:rPr>
          <w:rFonts w:hint="eastAsia"/>
        </w:rPr>
        <w:t>（七）生产管理与标准实施可行性验证</w:t>
      </w:r>
    </w:p>
    <w:p w14:paraId="4389188E">
      <w:pPr>
        <w:bidi w:val="0"/>
        <w:rPr>
          <w:rFonts w:hint="eastAsia"/>
        </w:rPr>
      </w:pPr>
      <w:r>
        <w:rPr>
          <w:rFonts w:hint="eastAsia"/>
        </w:rPr>
        <w:t>磐石市已建立由生产管理领导小组、乡镇农业技术人员、村级管理人员和种植农户共同参与的生产组织体系，并对水稻品种、育苗、插秧、水肥管理、病虫害防治、收获、储藏、加工和追溯等环节形成了相对完整的管理资料。生产过程中实行种子统一采购、技术培训和田间指导，建立水稻生产过程档案，并采用浅水插秧、深水护苗、浅水促蘖、晒田控蘖、间断灌溉等水分管理措施。病虫害防治中使用频振式杀虫灯、人工除草和稻田养鸭等绿色防控方式。</w:t>
      </w:r>
    </w:p>
    <w:p w14:paraId="06B6DF75">
      <w:pPr>
        <w:bidi w:val="0"/>
        <w:rPr>
          <w:rFonts w:hint="eastAsia"/>
        </w:rPr>
      </w:pPr>
      <w:r>
        <w:rPr>
          <w:rFonts w:hint="eastAsia"/>
        </w:rPr>
        <w:t>在收获加工环节，不同品种实行分收、分储，并由具备相应条件的企业开展加工；追溯内容覆盖田块、品种、投入品、加工企业、仓储环境和批次质量信息。上述生产管理实践表明，本标准所涉及的生态生产、过程记录、分品种管理和质量追溯要求具有一定实施基础。但品牌经营、销售模式和特定组织架构属于地方管理实践，不宜全部转化为标准强制性技术条款。</w:t>
      </w:r>
    </w:p>
    <w:p w14:paraId="35B42944">
      <w:pPr>
        <w:bidi w:val="0"/>
        <w:rPr>
          <w:rFonts w:hint="eastAsia"/>
        </w:rPr>
      </w:pPr>
      <w:r>
        <w:rPr>
          <w:rFonts w:hint="eastAsia"/>
        </w:rPr>
        <w:t>（八）综合验证结论及尚需补充的内容</w:t>
      </w:r>
    </w:p>
    <w:p w14:paraId="32663D7F">
      <w:pPr>
        <w:bidi w:val="0"/>
        <w:rPr>
          <w:rFonts w:hint="eastAsia" w:ascii="宋体" w:hAnsi="宋体" w:eastAsia="宋体" w:cs="宋体"/>
        </w:rPr>
      </w:pPr>
      <w:r>
        <w:rPr>
          <w:rFonts w:hint="eastAsia"/>
        </w:rPr>
        <w:t>综合空间、水文、气候、土壤、品种、产品品质和生产管理资料，磐石千塘稻案例具有较明确的地域生境特征：水田依托34个二级子流域及大量水库、塘坝分布于低洼区域；温带季风气候和集中于夏季的降水能够满足水稻生长；黑土水田有机质较丰富且重金属含量低于农用地风险筛选值；灌溉水源充足、水质较好；6个主栽品种和稻米品质检测结果具有较好的区域生产和产品基础。这些数据能够支撑标准中案例范围、生境条件、土壤与水环境、品种选择、产品质量和实施管理等主要内容。</w:t>
      </w:r>
    </w:p>
    <w:p w14:paraId="10DB7618">
      <w:pPr>
        <w:pStyle w:val="3"/>
        <w:bidi w:val="0"/>
        <w:rPr>
          <w:rFonts w:hint="eastAsia" w:ascii="宋体" w:hAnsi="宋体" w:eastAsia="宋体" w:cs="宋体"/>
        </w:rPr>
      </w:pPr>
      <w:bookmarkStart w:id="31" w:name="_Toc26331"/>
      <w:bookmarkStart w:id="32" w:name="_Toc11389"/>
      <w:r>
        <w:rPr>
          <w:rFonts w:hint="eastAsia"/>
        </w:rPr>
        <w:t>四 、标准中涉及专利的情况</w:t>
      </w:r>
      <w:bookmarkEnd w:id="31"/>
      <w:bookmarkEnd w:id="32"/>
    </w:p>
    <w:p w14:paraId="035B4489">
      <w:pPr>
        <w:bidi w:val="0"/>
        <w:rPr>
          <w:rFonts w:hint="eastAsia" w:ascii="宋体" w:hAnsi="宋体" w:eastAsia="宋体" w:cs="宋体"/>
        </w:rPr>
      </w:pPr>
      <w:r>
        <w:rPr>
          <w:rFonts w:hint="eastAsia"/>
        </w:rPr>
        <w:t>本文件不涉及专利问题。</w:t>
      </w:r>
    </w:p>
    <w:p w14:paraId="515F1163">
      <w:pPr>
        <w:pStyle w:val="3"/>
        <w:bidi w:val="0"/>
        <w:rPr>
          <w:rFonts w:hint="eastAsia" w:ascii="宋体" w:hAnsi="宋体" w:eastAsia="宋体" w:cs="宋体"/>
        </w:rPr>
      </w:pPr>
      <w:bookmarkStart w:id="33" w:name="_Toc23527"/>
      <w:bookmarkStart w:id="34" w:name="_Toc15631"/>
      <w:r>
        <w:rPr>
          <w:rFonts w:hint="eastAsia"/>
        </w:rPr>
        <w:t>五 、预期达到的社会效益</w:t>
      </w:r>
      <w:bookmarkEnd w:id="33"/>
      <w:bookmarkEnd w:id="34"/>
    </w:p>
    <w:p w14:paraId="7284E379">
      <w:pPr>
        <w:bidi w:val="0"/>
        <w:rPr>
          <w:rFonts w:hint="eastAsia"/>
        </w:rPr>
      </w:pPr>
      <w:r>
        <w:rPr>
          <w:rFonts w:hint="eastAsia"/>
        </w:rPr>
        <w:t>本标准实施后，将促进典型农业生态系统保护理念由产品评价向生境评价转变，提升永久基本农田生态保护与综合利用水平。通过构建涵盖自然环境、生态系统、农业生产和人地关系的地标生境案例评价体系，可为磐石千塘稻及类似特色农业区域的生态保护、绿色发展和乡村振兴提供技术支撑。同时，标准将总结典型农业生态系统形成机制和保护经验，推动我国地标生境案例评价体系建设，为地域特色农业可持续发展提供参考。</w:t>
      </w:r>
    </w:p>
    <w:p w14:paraId="0FCD8F23">
      <w:pPr>
        <w:pStyle w:val="3"/>
        <w:bidi w:val="0"/>
        <w:rPr>
          <w:rFonts w:hint="eastAsia" w:ascii="宋体" w:hAnsi="宋体" w:eastAsia="宋体" w:cs="宋体"/>
          <w:szCs w:val="28"/>
        </w:rPr>
      </w:pPr>
      <w:bookmarkStart w:id="35" w:name="_Toc28094"/>
      <w:bookmarkStart w:id="36" w:name="_Toc27688"/>
      <w:r>
        <w:rPr>
          <w:rFonts w:hint="eastAsia"/>
        </w:rPr>
        <w:t>六 、采用国际标准和国外先进标准的情况</w:t>
      </w:r>
      <w:bookmarkEnd w:id="35"/>
      <w:bookmarkEnd w:id="36"/>
    </w:p>
    <w:p w14:paraId="4D057417">
      <w:pPr>
        <w:bidi w:val="0"/>
        <w:rPr>
          <w:rFonts w:hint="eastAsia" w:eastAsia="宋体"/>
          <w:lang w:val="en-US" w:eastAsia="zh-CN"/>
        </w:rPr>
      </w:pPr>
      <w:r>
        <w:rPr>
          <w:rFonts w:hint="eastAsia"/>
        </w:rPr>
        <w:t>经过前期充分调研和广泛收集资料，本标准在制定过程中，未检索到以“地标生境”（GIES）为核心理念、将生境条件系统性纳入地理标志产品保护的国际标准或国外先进标准。因此，本标准未采用国际标准</w:t>
      </w:r>
      <w:r>
        <w:rPr>
          <w:rFonts w:hint="eastAsia"/>
          <w:lang w:eastAsia="zh-CN"/>
        </w:rPr>
        <w:t>。</w:t>
      </w:r>
    </w:p>
    <w:p w14:paraId="6A56D75F">
      <w:pPr>
        <w:pStyle w:val="3"/>
        <w:bidi w:val="0"/>
        <w:rPr>
          <w:rFonts w:hint="eastAsia" w:ascii="宋体" w:hAnsi="宋体" w:eastAsia="宋体" w:cs="宋体"/>
          <w:szCs w:val="28"/>
        </w:rPr>
      </w:pPr>
      <w:bookmarkStart w:id="37" w:name="_Toc16442"/>
      <w:bookmarkStart w:id="38" w:name="_Toc30498"/>
      <w:r>
        <w:rPr>
          <w:rFonts w:hint="eastAsia"/>
        </w:rPr>
        <w:t>七、与现行相关法律、法规规章及相关标准，特别是强制性标准的协</w:t>
      </w:r>
      <w:bookmarkStart w:id="39" w:name="bookmark20"/>
      <w:bookmarkEnd w:id="39"/>
      <w:r>
        <w:rPr>
          <w:rFonts w:hint="eastAsia"/>
        </w:rPr>
        <w:t>调性</w:t>
      </w:r>
      <w:bookmarkEnd w:id="37"/>
      <w:bookmarkEnd w:id="38"/>
    </w:p>
    <w:p w14:paraId="2CB0BCAE">
      <w:pPr>
        <w:bidi w:val="0"/>
        <w:rPr>
          <w:rFonts w:hint="eastAsia"/>
        </w:rPr>
      </w:pPr>
      <w:r>
        <w:rPr>
          <w:rFonts w:hint="eastAsia" w:ascii="宋体" w:hAnsi="宋体" w:eastAsia="宋体" w:cs="宋体"/>
          <w:spacing w:val="-4"/>
          <w:szCs w:val="24"/>
        </w:rPr>
        <w:t>随着我国农业绿色发展、生态文明建设和永久基本农田保护工作的持续推进，国家</w:t>
      </w:r>
      <w:r>
        <w:rPr>
          <w:rFonts w:hint="eastAsia"/>
        </w:rPr>
        <w:t>陆续制定了一系列涉及土地资源保护、农业生产管理、生态环境保护、农产品质量安全和高标准农田建设等方面的法律法规和技术标准，为特色农业生态系统保护与可持续利用提供了制度基础。</w:t>
      </w:r>
    </w:p>
    <w:p w14:paraId="05778E27">
      <w:pPr>
        <w:bidi w:val="0"/>
        <w:rPr>
          <w:rFonts w:hint="eastAsia"/>
        </w:rPr>
      </w:pPr>
      <w:r>
        <w:rPr>
          <w:rFonts w:hint="eastAsia"/>
        </w:rPr>
        <w:t>《地标生境—</w:t>
      </w:r>
      <w:r>
        <w:rPr>
          <w:rFonts w:hint="eastAsia"/>
          <w:lang w:val="en-US" w:eastAsia="zh-CN"/>
        </w:rPr>
        <w:t>吉林</w:t>
      </w:r>
      <w:r>
        <w:rPr>
          <w:rFonts w:hint="eastAsia"/>
        </w:rPr>
        <w:t>磐石千塘稻永久基本农田案例》团体标准的制定，充分衔接现有法律法规和相关技术标准体系，在不改变现有强制性标准要求的基础上，针对典型农业生态系统生境特征识别、生态功能评价和保护利用要求等方面进行补充和完善，与现行相关标准具有良好的协调性。</w:t>
      </w:r>
    </w:p>
    <w:p w14:paraId="7BC7141A">
      <w:pPr>
        <w:bidi w:val="0"/>
        <w:rPr>
          <w:rFonts w:hint="eastAsia"/>
        </w:rPr>
      </w:pPr>
      <w:r>
        <w:rPr>
          <w:rFonts w:hint="eastAsia"/>
        </w:rPr>
        <w:t>（一）与国家法律法规的协调性</w:t>
      </w:r>
    </w:p>
    <w:p w14:paraId="359DD710">
      <w:pPr>
        <w:bidi w:val="0"/>
        <w:rPr>
          <w:rFonts w:hint="eastAsia"/>
        </w:rPr>
      </w:pPr>
      <w:r>
        <w:rPr>
          <w:rFonts w:hint="eastAsia"/>
        </w:rPr>
        <w:t>1. 与《中华人民共和国土地管理法》的协调性</w:t>
      </w:r>
    </w:p>
    <w:p w14:paraId="03531DF8">
      <w:pPr>
        <w:bidi w:val="0"/>
        <w:rPr>
          <w:rFonts w:hint="eastAsia"/>
        </w:rPr>
      </w:pPr>
    </w:p>
    <w:p w14:paraId="06C66248">
      <w:pPr>
        <w:bidi w:val="0"/>
        <w:rPr>
          <w:rFonts w:hint="eastAsia"/>
        </w:rPr>
      </w:pPr>
      <w:r>
        <w:rPr>
          <w:rFonts w:hint="eastAsia"/>
        </w:rPr>
        <w:t>《中华人民共和国土地管理法》明确提出加强土地资源保护，严格保护耕地，实行永久基本农田保护制度。本标准以磐石千塘稻永久基本农田生态系统为对象，重点关注农田空间格局、土地利用方式、农业生态功能及可持续利用要求，与土地管理法关于保护耕地资源、保障粮食安全和优化土地利用管理的要求保持一致</w:t>
      </w:r>
      <w:r>
        <w:rPr>
          <w:rFonts w:hint="eastAsia"/>
          <w:lang w:eastAsia="zh-CN"/>
        </w:rPr>
        <w:t>。</w:t>
      </w:r>
      <w:r>
        <w:rPr>
          <w:rFonts w:hint="eastAsia"/>
        </w:rPr>
        <w:t>本标准不涉及土地权属调整、土地用途变更等行政管理内容，而是从生态系统和生境保护角度，为永久基本农田保护和质量提升提供技术参考。</w:t>
      </w:r>
    </w:p>
    <w:p w14:paraId="77D40863">
      <w:pPr>
        <w:bidi w:val="0"/>
        <w:rPr>
          <w:rFonts w:hint="eastAsia"/>
        </w:rPr>
      </w:pPr>
      <w:r>
        <w:rPr>
          <w:rFonts w:hint="eastAsia"/>
        </w:rPr>
        <w:t>2. 与《中华人民共和国黑土地保护法》的协调性</w:t>
      </w:r>
    </w:p>
    <w:p w14:paraId="2BE49B5C">
      <w:pPr>
        <w:bidi w:val="0"/>
        <w:rPr>
          <w:rFonts w:hint="eastAsia"/>
        </w:rPr>
      </w:pPr>
      <w:r>
        <w:rPr>
          <w:rFonts w:hint="eastAsia"/>
        </w:rPr>
        <w:t>磐石地区属于东北黑土地分布区域，黑土地资源保护是保障区域农业可持续发展的重要基础。《中华人民共和国黑土地保护法》提出加强黑土地保护，改善土壤质量，提高耕地综合生产能力。本标准将土壤环境条件、农田生态系统功能和农业可持续利用作为重要评价内容，与黑土地保护要求相一致。</w:t>
      </w:r>
    </w:p>
    <w:p w14:paraId="0995C7E1">
      <w:pPr>
        <w:bidi w:val="0"/>
        <w:rPr>
          <w:rFonts w:hint="eastAsia"/>
        </w:rPr>
      </w:pPr>
      <w:r>
        <w:rPr>
          <w:rFonts w:hint="eastAsia"/>
        </w:rPr>
        <w:t>3. 与《中华人民共和国农业法》的协调性</w:t>
      </w:r>
    </w:p>
    <w:p w14:paraId="3F8FADD5">
      <w:pPr>
        <w:bidi w:val="0"/>
        <w:rPr>
          <w:rFonts w:hint="eastAsia"/>
        </w:rPr>
      </w:pPr>
      <w:r>
        <w:rPr>
          <w:rFonts w:hint="eastAsia"/>
        </w:rPr>
        <w:t>《中华人民共和国农业法》提出发展生态农业，促进农业资源合理利用和农业可持续发展。本标准围绕磐石千塘稻农业生态系统形成过程，综合考虑自然环境、农业生产方式和生态功能之间的关系，符合农业绿色发展和生态农业建设要求。</w:t>
      </w:r>
    </w:p>
    <w:p w14:paraId="79CCFE92">
      <w:pPr>
        <w:bidi w:val="0"/>
        <w:rPr>
          <w:rFonts w:hint="eastAsia"/>
        </w:rPr>
      </w:pPr>
      <w:r>
        <w:rPr>
          <w:rFonts w:hint="eastAsia"/>
        </w:rPr>
        <w:t>4. 与《中华人民共和国环境保护法》的协调性</w:t>
      </w:r>
    </w:p>
    <w:p w14:paraId="79E75662">
      <w:pPr>
        <w:bidi w:val="0"/>
        <w:rPr>
          <w:rFonts w:hint="eastAsia"/>
        </w:rPr>
      </w:pPr>
      <w:r>
        <w:rPr>
          <w:rFonts w:hint="eastAsia"/>
        </w:rPr>
        <w:t>《中华人民共和国环境保护法》强调保护和改善环境，推动绿色发展。本标准涉及农业生态环境保护内容，包括水环境条件</w:t>
      </w:r>
      <w:r>
        <w:rPr>
          <w:rFonts w:hint="eastAsia"/>
          <w:lang w:eastAsia="zh-CN"/>
        </w:rPr>
        <w:t>、</w:t>
      </w:r>
      <w:r>
        <w:rPr>
          <w:rFonts w:hint="eastAsia"/>
        </w:rPr>
        <w:t>土壤环境质量</w:t>
      </w:r>
      <w:r>
        <w:rPr>
          <w:rFonts w:hint="eastAsia"/>
          <w:lang w:eastAsia="zh-CN"/>
        </w:rPr>
        <w:t>、</w:t>
      </w:r>
      <w:r>
        <w:rPr>
          <w:rFonts w:hint="eastAsia"/>
        </w:rPr>
        <w:t>生物多样性维护</w:t>
      </w:r>
      <w:r>
        <w:rPr>
          <w:rFonts w:hint="eastAsia"/>
          <w:lang w:eastAsia="zh-CN"/>
        </w:rPr>
        <w:t>、</w:t>
      </w:r>
      <w:r>
        <w:rPr>
          <w:rFonts w:hint="eastAsia"/>
        </w:rPr>
        <w:t>农业景观保护。相关内容符合环境保护法关于生态保护和污染防治的总体要求。</w:t>
      </w:r>
    </w:p>
    <w:p w14:paraId="5A7077C2">
      <w:pPr>
        <w:bidi w:val="0"/>
        <w:rPr>
          <w:rFonts w:hint="eastAsia"/>
        </w:rPr>
      </w:pPr>
      <w:r>
        <w:rPr>
          <w:rFonts w:hint="eastAsia"/>
        </w:rPr>
        <w:t>（二）与现行国家标准和行业标准的协调性</w:t>
      </w:r>
    </w:p>
    <w:p w14:paraId="008161D9">
      <w:pPr>
        <w:bidi w:val="0"/>
        <w:rPr>
          <w:rFonts w:hint="eastAsia"/>
        </w:rPr>
      </w:pPr>
      <w:r>
        <w:rPr>
          <w:rFonts w:hint="eastAsia"/>
        </w:rPr>
        <w:t>1. 与《高标准农田建设通则》（GB/T 30600）的协调性</w:t>
      </w:r>
    </w:p>
    <w:p w14:paraId="3E5C77F1">
      <w:pPr>
        <w:bidi w:val="0"/>
        <w:rPr>
          <w:rFonts w:hint="eastAsia"/>
        </w:rPr>
      </w:pPr>
      <w:r>
        <w:rPr>
          <w:rFonts w:hint="eastAsia"/>
        </w:rPr>
        <w:t>《高标准农田建设通则》（GB/T 30600）主要规定高标准农田建设的基本要求，包括：土地整治</w:t>
      </w:r>
      <w:r>
        <w:rPr>
          <w:rFonts w:hint="eastAsia"/>
          <w:lang w:eastAsia="zh-CN"/>
        </w:rPr>
        <w:t>、</w:t>
      </w:r>
      <w:r>
        <w:rPr>
          <w:rFonts w:hint="eastAsia"/>
        </w:rPr>
        <w:t>灌溉排水</w:t>
      </w:r>
      <w:r>
        <w:rPr>
          <w:rFonts w:hint="eastAsia"/>
          <w:lang w:eastAsia="zh-CN"/>
        </w:rPr>
        <w:t>、</w:t>
      </w:r>
      <w:r>
        <w:rPr>
          <w:rFonts w:hint="eastAsia"/>
        </w:rPr>
        <w:t>土壤改良</w:t>
      </w:r>
      <w:r>
        <w:rPr>
          <w:rFonts w:hint="eastAsia"/>
          <w:lang w:eastAsia="zh-CN"/>
        </w:rPr>
        <w:t>、</w:t>
      </w:r>
      <w:r>
        <w:rPr>
          <w:rFonts w:hint="eastAsia"/>
        </w:rPr>
        <w:t>农田基础设施建设</w:t>
      </w:r>
      <w:r>
        <w:rPr>
          <w:rFonts w:hint="eastAsia"/>
          <w:lang w:eastAsia="zh-CN"/>
        </w:rPr>
        <w:t>。</w:t>
      </w:r>
      <w:r>
        <w:rPr>
          <w:rFonts w:hint="eastAsia"/>
        </w:rPr>
        <w:t>本标准与该标准具有互补关系。</w:t>
      </w:r>
    </w:p>
    <w:p w14:paraId="1014578C">
      <w:pPr>
        <w:bidi w:val="0"/>
        <w:rPr>
          <w:rFonts w:hint="eastAsia"/>
        </w:rPr>
      </w:pPr>
      <w:r>
        <w:rPr>
          <w:rFonts w:hint="eastAsia"/>
        </w:rPr>
        <w:t>2. 与《土壤环境质量 农用地土壤污染风险管控标准》（GB 15618）的协调性</w:t>
      </w:r>
    </w:p>
    <w:p w14:paraId="5AB8413C">
      <w:pPr>
        <w:bidi w:val="0"/>
        <w:rPr>
          <w:rFonts w:hint="eastAsia"/>
        </w:rPr>
      </w:pPr>
      <w:r>
        <w:rPr>
          <w:rFonts w:hint="eastAsia"/>
        </w:rPr>
        <w:t>GB 15618规定农用地土壤污染风险筛选值和管制值，是农业土壤环境安全的重要强制性标准。本标准涉及土壤环境评价时，以GB 15618作为基础依据，不降低、不替代现有土壤环境安全要求。本标准重点关注：土壤生态条件</w:t>
      </w:r>
      <w:r>
        <w:rPr>
          <w:rFonts w:hint="eastAsia"/>
          <w:lang w:eastAsia="zh-CN"/>
        </w:rPr>
        <w:t>、</w:t>
      </w:r>
      <w:r>
        <w:rPr>
          <w:rFonts w:hint="eastAsia"/>
        </w:rPr>
        <w:t>土壤质量特征</w:t>
      </w:r>
      <w:r>
        <w:rPr>
          <w:rFonts w:hint="eastAsia"/>
          <w:lang w:eastAsia="zh-CN"/>
        </w:rPr>
        <w:t>、</w:t>
      </w:r>
      <w:r>
        <w:rPr>
          <w:rFonts w:hint="eastAsia"/>
        </w:rPr>
        <w:t>农业生态系统功能</w:t>
      </w:r>
      <w:r>
        <w:rPr>
          <w:rFonts w:hint="eastAsia"/>
          <w:lang w:eastAsia="zh-CN"/>
        </w:rPr>
        <w:t>，</w:t>
      </w:r>
      <w:r>
        <w:rPr>
          <w:rFonts w:hint="eastAsia"/>
        </w:rPr>
        <w:t>与GB 15618形成互补关系。</w:t>
      </w:r>
    </w:p>
    <w:p w14:paraId="4BCD96A5">
      <w:pPr>
        <w:bidi w:val="0"/>
        <w:rPr>
          <w:rFonts w:hint="eastAsia"/>
        </w:rPr>
      </w:pPr>
      <w:r>
        <w:rPr>
          <w:rFonts w:hint="eastAsia"/>
        </w:rPr>
        <w:t>3. 与《农田灌溉水质标准》（GB 5084）的协调性</w:t>
      </w:r>
    </w:p>
    <w:p w14:paraId="34C9BD1C">
      <w:pPr>
        <w:bidi w:val="0"/>
        <w:rPr>
          <w:rFonts w:hint="eastAsia"/>
        </w:rPr>
      </w:pPr>
      <w:r>
        <w:rPr>
          <w:rFonts w:hint="eastAsia"/>
        </w:rPr>
        <w:t>GB 5084规定农田灌溉用水水质要求。</w:t>
      </w:r>
    </w:p>
    <w:p w14:paraId="0C76E119">
      <w:pPr>
        <w:bidi w:val="0"/>
        <w:rPr>
          <w:rFonts w:hint="eastAsia"/>
        </w:rPr>
      </w:pPr>
      <w:r>
        <w:rPr>
          <w:rFonts w:hint="eastAsia"/>
        </w:rPr>
        <w:t>磐石千塘稻农业生态系统具有明显的水系网络特征，水环境条件是维持农业生产和生态功能的重要因素。本标准涉及水环境评价时，应符合GB 5084相关要求，同时进一步关注</w:t>
      </w:r>
      <w:r>
        <w:rPr>
          <w:rFonts w:hint="eastAsia"/>
          <w:lang w:eastAsia="zh-CN"/>
        </w:rPr>
        <w:t>：</w:t>
      </w:r>
      <w:r>
        <w:rPr>
          <w:rFonts w:hint="eastAsia"/>
        </w:rPr>
        <w:t>水资源利用方式</w:t>
      </w:r>
      <w:r>
        <w:rPr>
          <w:rFonts w:hint="eastAsia"/>
          <w:lang w:eastAsia="zh-CN"/>
        </w:rPr>
        <w:t>、</w:t>
      </w:r>
      <w:r>
        <w:rPr>
          <w:rFonts w:hint="eastAsia"/>
        </w:rPr>
        <w:t>水系生态功能</w:t>
      </w:r>
      <w:r>
        <w:rPr>
          <w:rFonts w:hint="eastAsia"/>
          <w:lang w:eastAsia="zh-CN"/>
        </w:rPr>
        <w:t>、</w:t>
      </w:r>
      <w:r>
        <w:rPr>
          <w:rFonts w:hint="eastAsia"/>
        </w:rPr>
        <w:t>稻田—塘坝生态联系。</w:t>
      </w:r>
    </w:p>
    <w:p w14:paraId="72936BCB">
      <w:pPr>
        <w:bidi w:val="0"/>
        <w:rPr>
          <w:rFonts w:hint="eastAsia"/>
        </w:rPr>
      </w:pPr>
      <w:r>
        <w:rPr>
          <w:rFonts w:hint="eastAsia"/>
        </w:rPr>
        <w:t>4. 与《食品安全国家标准 食品中污染物限量》（GB 2762）的协调性</w:t>
      </w:r>
    </w:p>
    <w:p w14:paraId="6CC5EA3D">
      <w:pPr>
        <w:bidi w:val="0"/>
        <w:rPr>
          <w:rFonts w:hint="eastAsia"/>
        </w:rPr>
      </w:pPr>
      <w:r>
        <w:rPr>
          <w:rFonts w:hint="eastAsia"/>
        </w:rPr>
        <w:t>GB 2762主要规定食品中污染物限量要求。本标准不针对水稻产品质量安全进行评价，不替代食品安全标准，而是从农业生态系统形成条件角度评价生境特征。如涉及农产品品质相关内容，应符合相关食品安全标准要求。</w:t>
      </w:r>
    </w:p>
    <w:p w14:paraId="5BA68F6B">
      <w:pPr>
        <w:bidi w:val="0"/>
        <w:rPr>
          <w:rFonts w:hint="eastAsia"/>
        </w:rPr>
      </w:pPr>
      <w:r>
        <w:rPr>
          <w:rFonts w:hint="eastAsia"/>
        </w:rPr>
        <w:t>（三）与农业生态和文化景观相关标准体系的协调性</w:t>
      </w:r>
    </w:p>
    <w:p w14:paraId="31D84D01">
      <w:pPr>
        <w:bidi w:val="0"/>
        <w:rPr>
          <w:rFonts w:hint="eastAsia"/>
        </w:rPr>
      </w:pPr>
      <w:r>
        <w:rPr>
          <w:rFonts w:hint="eastAsia"/>
        </w:rPr>
        <w:t>目前，我国针对“典型农业生态系统生境评价”的标准体系仍相对不足。</w:t>
      </w:r>
    </w:p>
    <w:p w14:paraId="31C6FCBC">
      <w:pPr>
        <w:bidi w:val="0"/>
        <w:rPr>
          <w:rFonts w:hint="eastAsia" w:eastAsia="宋体"/>
          <w:lang w:eastAsia="zh-CN"/>
        </w:rPr>
      </w:pPr>
      <w:r>
        <w:rPr>
          <w:rFonts w:hint="eastAsia"/>
        </w:rPr>
        <w:t>现有标准主要集中于：农产品质量</w:t>
      </w:r>
      <w:r>
        <w:rPr>
          <w:rFonts w:hint="eastAsia"/>
          <w:lang w:eastAsia="zh-CN"/>
        </w:rPr>
        <w:t>、</w:t>
      </w:r>
      <w:r>
        <w:rPr>
          <w:rFonts w:hint="eastAsia"/>
        </w:rPr>
        <w:t>农业生产过程</w:t>
      </w:r>
      <w:r>
        <w:rPr>
          <w:rFonts w:hint="eastAsia"/>
          <w:lang w:eastAsia="zh-CN"/>
        </w:rPr>
        <w:t>、</w:t>
      </w:r>
      <w:r>
        <w:rPr>
          <w:rFonts w:hint="eastAsia"/>
        </w:rPr>
        <w:t>土地利用管理</w:t>
      </w:r>
      <w:r>
        <w:rPr>
          <w:rFonts w:hint="eastAsia"/>
          <w:lang w:eastAsia="zh-CN"/>
        </w:rPr>
        <w:t>、</w:t>
      </w:r>
      <w:r>
        <w:rPr>
          <w:rFonts w:hint="eastAsia"/>
        </w:rPr>
        <w:t>环境质量控制。而对于支撑特色农业形成的自然环境条件</w:t>
      </w:r>
      <w:r>
        <w:rPr>
          <w:rFonts w:hint="eastAsia"/>
          <w:lang w:val="en-US" w:eastAsia="zh-CN"/>
        </w:rPr>
        <w:t>与</w:t>
      </w:r>
      <w:r>
        <w:rPr>
          <w:rFonts w:hint="eastAsia"/>
        </w:rPr>
        <w:t>农业景观格局缺少系统性的评价标准。本标准以磐石千塘稻为案例，重点建立“生境条件—生态系统—农业生产—保护利用”的综合评价框架，是对现有农业标准体系的重要补充</w:t>
      </w:r>
      <w:r>
        <w:rPr>
          <w:rFonts w:hint="eastAsia"/>
          <w:lang w:eastAsia="zh-CN"/>
        </w:rPr>
        <w:t>。</w:t>
      </w:r>
    </w:p>
    <w:p w14:paraId="48D29243">
      <w:pPr>
        <w:bidi w:val="0"/>
        <w:rPr>
          <w:rFonts w:hint="eastAsia"/>
        </w:rPr>
      </w:pPr>
      <w:r>
        <w:rPr>
          <w:rFonts w:hint="eastAsia"/>
        </w:rPr>
        <w:t>（四）与国际相关体系的协调性</w:t>
      </w:r>
    </w:p>
    <w:p w14:paraId="1B3047DA">
      <w:pPr>
        <w:bidi w:val="0"/>
        <w:rPr>
          <w:rFonts w:hint="eastAsia"/>
        </w:rPr>
      </w:pPr>
      <w:r>
        <w:rPr>
          <w:rFonts w:hint="eastAsia"/>
        </w:rPr>
        <w:t>本标准参考联合国粮食及农业组织（FAO）全球重要农业文化遗产（GIAHS）理念。日本佐渡岛朱鹮共生农业系统、日本大崎耕土传统水管理系统等案例均体现了农业生产与生态系统协同保护理念。本标准借鉴相关理念，但结合我国永久基本农田保护制度和东北黑土地农业生态特点，形成具有中国特色的地标生境案例评价体系。</w:t>
      </w:r>
    </w:p>
    <w:p w14:paraId="1DF94B32">
      <w:pPr>
        <w:bidi w:val="0"/>
        <w:rPr>
          <w:rFonts w:hint="eastAsia"/>
        </w:rPr>
      </w:pPr>
      <w:r>
        <w:rPr>
          <w:rFonts w:hint="eastAsia"/>
        </w:rPr>
        <w:t>（五）总体协调性评价</w:t>
      </w:r>
    </w:p>
    <w:p w14:paraId="61C4B9AD">
      <w:pPr>
        <w:bidi w:val="0"/>
        <w:rPr>
          <w:rFonts w:hint="eastAsia"/>
        </w:rPr>
      </w:pPr>
      <w:r>
        <w:rPr>
          <w:rFonts w:hint="eastAsia"/>
        </w:rPr>
        <w:t>综上，《地标生境—</w:t>
      </w:r>
      <w:r>
        <w:rPr>
          <w:rFonts w:hint="eastAsia"/>
          <w:lang w:val="en-US" w:eastAsia="zh-CN"/>
        </w:rPr>
        <w:t>吉林</w:t>
      </w:r>
      <w:r>
        <w:rPr>
          <w:rFonts w:hint="eastAsia"/>
        </w:rPr>
        <w:t>磐石千塘稻永久基本农田案例》团体标准与现行法律法规、强制性标准和相关技术标准不存在冲突。</w:t>
      </w:r>
    </w:p>
    <w:p w14:paraId="399D20F9">
      <w:pPr>
        <w:bidi w:val="0"/>
        <w:rPr>
          <w:rFonts w:hint="eastAsia"/>
        </w:rPr>
      </w:pPr>
      <w:r>
        <w:rPr>
          <w:rFonts w:hint="eastAsia"/>
        </w:rPr>
        <w:t>本标准严格遵守国家关于土地保护、农业生产、生态环境保护和食品安全等方面的相关规定，在满足现有强制性标准要求的基础上，重点针对典型农业生态系统生境识别、生态功能评价和保护利用提出技术要求。</w:t>
      </w:r>
    </w:p>
    <w:p w14:paraId="68D5C773">
      <w:pPr>
        <w:bidi w:val="0"/>
        <w:rPr>
          <w:rFonts w:hint="eastAsia"/>
        </w:rPr>
      </w:pPr>
      <w:r>
        <w:rPr>
          <w:rFonts w:hint="eastAsia"/>
        </w:rPr>
        <w:t>该标准能够弥补现有标准体系中对农业生态系统综合评价不足的问题，为永久基本农田生态保护、特色农业可持续发展和地标生境案例推广提供技术支撑。</w:t>
      </w:r>
    </w:p>
    <w:p w14:paraId="7E472B4E">
      <w:pPr>
        <w:pStyle w:val="3"/>
        <w:bidi w:val="0"/>
        <w:rPr>
          <w:rFonts w:hint="eastAsia"/>
        </w:rPr>
      </w:pPr>
      <w:bookmarkStart w:id="40" w:name="_Toc24558"/>
      <w:bookmarkStart w:id="41" w:name="_Toc7514"/>
      <w:r>
        <w:rPr>
          <w:rFonts w:hint="eastAsia"/>
        </w:rPr>
        <w:t>八 、重大意见分歧的处理结果和依据</w:t>
      </w:r>
      <w:bookmarkEnd w:id="40"/>
      <w:bookmarkEnd w:id="41"/>
    </w:p>
    <w:p w14:paraId="40C1525E">
      <w:pPr>
        <w:bidi w:val="0"/>
        <w:rPr>
          <w:rFonts w:hint="eastAsia"/>
        </w:rPr>
      </w:pPr>
      <w:r>
        <w:rPr>
          <w:rFonts w:hint="eastAsia"/>
        </w:rPr>
        <w:t>无。</w:t>
      </w:r>
    </w:p>
    <w:p w14:paraId="7446C3EA">
      <w:pPr>
        <w:pStyle w:val="3"/>
        <w:bidi w:val="0"/>
        <w:rPr>
          <w:rFonts w:hint="eastAsia" w:ascii="宋体" w:hAnsi="宋体" w:eastAsia="宋体" w:cs="宋体"/>
          <w:szCs w:val="28"/>
        </w:rPr>
      </w:pPr>
      <w:bookmarkStart w:id="42" w:name="_Toc28101"/>
      <w:bookmarkStart w:id="43" w:name="_Toc25967"/>
      <w:r>
        <w:rPr>
          <w:rFonts w:hint="eastAsia"/>
        </w:rPr>
        <w:t>九 、作为推荐性国家标准的建议</w:t>
      </w:r>
      <w:bookmarkEnd w:id="42"/>
      <w:bookmarkEnd w:id="43"/>
    </w:p>
    <w:p w14:paraId="36E904B8">
      <w:pPr>
        <w:bidi w:val="0"/>
        <w:rPr>
          <w:rFonts w:hint="eastAsia"/>
        </w:rPr>
      </w:pPr>
      <w:r>
        <w:rPr>
          <w:rFonts w:hint="eastAsia"/>
        </w:rPr>
        <w:t>本标准作为推荐性标准实施。</w:t>
      </w:r>
    </w:p>
    <w:p w14:paraId="7201C377">
      <w:pPr>
        <w:pStyle w:val="3"/>
        <w:bidi w:val="0"/>
        <w:rPr>
          <w:rFonts w:hint="eastAsia" w:ascii="宋体" w:hAnsi="宋体" w:eastAsia="宋体" w:cs="宋体"/>
          <w:szCs w:val="28"/>
        </w:rPr>
      </w:pPr>
      <w:bookmarkStart w:id="44" w:name="_Toc9753"/>
      <w:bookmarkStart w:id="45" w:name="_Toc27752"/>
      <w:r>
        <w:rPr>
          <w:rFonts w:hint="eastAsia"/>
        </w:rPr>
        <w:t>十 、贯彻标准的要求和措施建议</w:t>
      </w:r>
      <w:bookmarkEnd w:id="44"/>
      <w:bookmarkEnd w:id="45"/>
    </w:p>
    <w:p w14:paraId="5619E7ED">
      <w:pPr>
        <w:bidi w:val="0"/>
        <w:rPr>
          <w:rFonts w:hint="eastAsia"/>
        </w:rPr>
      </w:pPr>
      <w:r>
        <w:rPr>
          <w:rFonts w:hint="eastAsia"/>
        </w:rPr>
        <w:t>为保障《地标生境—</w:t>
      </w:r>
      <w:r>
        <w:rPr>
          <w:rFonts w:hint="eastAsia"/>
          <w:lang w:val="en-US" w:eastAsia="zh-CN"/>
        </w:rPr>
        <w:t>吉林</w:t>
      </w:r>
      <w:r>
        <w:rPr>
          <w:rFonts w:hint="eastAsia"/>
        </w:rPr>
        <w:t>磐石千塘稻永久基本农田案例》团体标准有效实施，建议由中国地理学会和标准起草单位共同开展标准宣传培训和技术指导工作，建立长期技术支撑机制。依托磐石千塘稻开展标准示范应用，加强对农田生态系统、生境条件和农业生产模式的综合评价，验证标准的科学性和适用性。同时，建立标准实施监测、反馈和动态修订机制，加强与永久基本农田保护、高标准农田建设、黑土地保护和农业绿色发展相关制度衔接，推动形成可复制、可推广的地标生境案例评价模式。</w:t>
      </w:r>
    </w:p>
    <w:p w14:paraId="07B8434C">
      <w:pPr>
        <w:pStyle w:val="3"/>
        <w:bidi w:val="0"/>
        <w:rPr>
          <w:rFonts w:hint="eastAsia"/>
        </w:rPr>
      </w:pPr>
      <w:bookmarkStart w:id="46" w:name="_Toc7554"/>
      <w:bookmarkStart w:id="47" w:name="_Toc19331"/>
      <w:r>
        <w:rPr>
          <w:rFonts w:hint="eastAsia"/>
        </w:rPr>
        <w:t>十一 、废止现行相关标准的建议</w:t>
      </w:r>
      <w:bookmarkEnd w:id="46"/>
      <w:bookmarkEnd w:id="47"/>
    </w:p>
    <w:p w14:paraId="2C309EBA">
      <w:pPr>
        <w:bidi w:val="0"/>
        <w:rPr>
          <w:rFonts w:hint="eastAsia"/>
        </w:rPr>
      </w:pPr>
      <w:r>
        <w:rPr>
          <w:rFonts w:hint="eastAsia"/>
        </w:rPr>
        <w:t>无。</w:t>
      </w:r>
    </w:p>
    <w:p w14:paraId="757B16A9">
      <w:pPr>
        <w:pStyle w:val="3"/>
        <w:bidi w:val="0"/>
        <w:rPr>
          <w:rFonts w:hint="eastAsia" w:ascii="宋体" w:hAnsi="宋体" w:eastAsia="宋体" w:cs="宋体"/>
          <w:szCs w:val="28"/>
        </w:rPr>
      </w:pPr>
      <w:bookmarkStart w:id="48" w:name="_Toc17479"/>
      <w:bookmarkStart w:id="49" w:name="_Toc23824"/>
      <w:r>
        <w:rPr>
          <w:rFonts w:hint="eastAsia"/>
        </w:rPr>
        <w:t>十二 、其他应予说明的事项</w:t>
      </w:r>
      <w:bookmarkEnd w:id="48"/>
      <w:bookmarkEnd w:id="49"/>
    </w:p>
    <w:p w14:paraId="0F54EFC1">
      <w:pPr>
        <w:bidi w:val="0"/>
        <w:rPr>
          <w:rFonts w:hint="eastAsia"/>
        </w:rPr>
      </w:pPr>
      <w:r>
        <w:rPr>
          <w:rFonts w:hint="eastAsia"/>
        </w:rPr>
        <w:t>无。</w:t>
      </w:r>
    </w:p>
    <w:p w14:paraId="7F615568">
      <w:pPr>
        <w:pStyle w:val="3"/>
        <w:bidi w:val="0"/>
        <w:rPr>
          <w:rFonts w:hint="eastAsia"/>
        </w:rPr>
      </w:pPr>
      <w:bookmarkStart w:id="50" w:name="_Toc7788"/>
      <w:bookmarkStart w:id="51" w:name="_Toc15104"/>
      <w:r>
        <w:rPr>
          <w:rFonts w:hint="eastAsia"/>
        </w:rPr>
        <w:t>十三 、主要参考文献</w:t>
      </w:r>
      <w:bookmarkEnd w:id="50"/>
      <w:bookmarkEnd w:id="51"/>
    </w:p>
    <w:p w14:paraId="4C6B03D5">
      <w:pPr>
        <w:bidi w:val="0"/>
        <w:rPr>
          <w:rFonts w:hint="default"/>
        </w:rPr>
      </w:pPr>
      <w:r>
        <w:rPr>
          <w:rFonts w:hint="default"/>
        </w:rPr>
        <w:t>[1]宋献方,于技群,戚武等.磐石千塘稻永久基本农田生态环境保护与可持续发展案例研究[J].全球变化数据学报,2022,6(2):157</w:t>
      </w:r>
      <w:r>
        <w:rPr>
          <w:rFonts w:hint="default"/>
          <w:lang w:val="en-US" w:eastAsia="zh-CN"/>
        </w:rPr>
        <w:t>-</w:t>
      </w:r>
      <w:r>
        <w:rPr>
          <w:rFonts w:hint="default"/>
        </w:rPr>
        <w:t>168.</w:t>
      </w:r>
    </w:p>
    <w:p w14:paraId="08D15BBC">
      <w:pPr>
        <w:pStyle w:val="6"/>
        <w:spacing w:line="319" w:lineRule="auto"/>
        <w:rPr>
          <w:rFonts w:hint="eastAsia" w:ascii="宋体" w:hAnsi="宋体" w:eastAsia="宋体" w:cs="宋体"/>
        </w:rPr>
      </w:pPr>
    </w:p>
    <w:p w14:paraId="41471AA3">
      <w:pPr>
        <w:spacing w:before="103" w:line="211" w:lineRule="auto"/>
        <w:ind w:right="13"/>
        <w:jc w:val="right"/>
        <w:rPr>
          <w:rFonts w:hint="eastAsia" w:ascii="宋体" w:hAnsi="宋体" w:eastAsia="宋体" w:cs="宋体"/>
          <w:sz w:val="24"/>
          <w:szCs w:val="24"/>
        </w:rPr>
      </w:pPr>
      <w:r>
        <w:rPr>
          <w:rFonts w:hint="eastAsia" w:ascii="宋体" w:hAnsi="宋体" w:eastAsia="宋体" w:cs="宋体"/>
          <w:spacing w:val="-1"/>
          <w:sz w:val="24"/>
          <w:szCs w:val="24"/>
        </w:rPr>
        <w:t>《地标生境</w:t>
      </w:r>
      <w:r>
        <w:rPr>
          <w:rFonts w:hint="eastAsia" w:ascii="宋体" w:hAnsi="宋体" w:cs="宋体"/>
          <w:spacing w:val="-1"/>
          <w:sz w:val="24"/>
          <w:szCs w:val="24"/>
          <w:lang w:val="en-US" w:eastAsia="zh-CN"/>
        </w:rPr>
        <w:t xml:space="preserve"> </w:t>
      </w:r>
      <w:r>
        <w:rPr>
          <w:rFonts w:hint="eastAsia" w:ascii="宋体" w:hAnsi="宋体" w:eastAsia="宋体" w:cs="宋体"/>
          <w:spacing w:val="-1"/>
          <w:sz w:val="24"/>
          <w:szCs w:val="24"/>
        </w:rPr>
        <w:t>吉林磐石千塘稻永久基本农田案例》起草组</w:t>
      </w:r>
    </w:p>
    <w:p w14:paraId="04A64359">
      <w:pPr>
        <w:spacing w:before="109" w:line="178" w:lineRule="auto"/>
        <w:ind w:right="13"/>
        <w:jc w:val="right"/>
        <w:rPr>
          <w:rFonts w:hint="eastAsia" w:ascii="宋体" w:hAnsi="宋体" w:eastAsia="宋体" w:cs="宋体"/>
          <w:sz w:val="24"/>
          <w:szCs w:val="24"/>
        </w:rPr>
      </w:pPr>
      <w:r>
        <w:rPr>
          <w:rFonts w:hint="eastAsia" w:ascii="宋体" w:hAnsi="宋体" w:eastAsia="宋体" w:cs="宋体"/>
          <w:spacing w:val="-2"/>
          <w:sz w:val="24"/>
          <w:szCs w:val="24"/>
        </w:rPr>
        <w:t>二零二六年</w:t>
      </w:r>
      <w:r>
        <w:rPr>
          <w:rFonts w:hint="eastAsia" w:ascii="宋体" w:hAnsi="宋体" w:cs="宋体"/>
          <w:spacing w:val="-2"/>
          <w:sz w:val="24"/>
          <w:szCs w:val="24"/>
          <w:lang w:val="en-US" w:eastAsia="zh-CN"/>
        </w:rPr>
        <w:t>七</w:t>
      </w:r>
      <w:r>
        <w:rPr>
          <w:rFonts w:hint="eastAsia" w:ascii="宋体" w:hAnsi="宋体" w:eastAsia="宋体" w:cs="宋体"/>
          <w:spacing w:val="-2"/>
          <w:sz w:val="24"/>
          <w:szCs w:val="24"/>
        </w:rPr>
        <w:t>月</w:t>
      </w:r>
    </w:p>
    <w:sectPr>
      <w:headerReference r:id="rId5" w:type="default"/>
      <w:footerReference r:id="rId6" w:type="default"/>
      <w:pgSz w:w="11906" w:h="16838"/>
      <w:pgMar w:top="400" w:right="1785" w:bottom="1420" w:left="1785" w:header="0" w:footer="118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5C89E">
    <w:pPr>
      <w:spacing w:line="226" w:lineRule="exact"/>
      <w:ind w:right="13"/>
      <w:jc w:val="right"/>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63CDC">
    <w:pPr>
      <w:pStyle w:val="6"/>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057B66"/>
    <w:rsid w:val="16481D0C"/>
    <w:rsid w:val="16AC73FD"/>
    <w:rsid w:val="292C0E92"/>
    <w:rsid w:val="2D325644"/>
    <w:rsid w:val="464F5D68"/>
    <w:rsid w:val="5CD4641D"/>
    <w:rsid w:val="5EFA4FE0"/>
    <w:rsid w:val="632E6FDA"/>
    <w:rsid w:val="7D0562FB"/>
    <w:rsid w:val="7EFA48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360" w:lineRule="auto"/>
      <w:ind w:firstLine="420" w:firstLineChars="200"/>
      <w:jc w:val="both"/>
      <w:textAlignment w:val="baseline"/>
    </w:pPr>
    <w:rPr>
      <w:rFonts w:ascii="Times New Roman" w:hAnsi="Times New Roman" w:eastAsia="宋体" w:cs="Arial"/>
      <w:snapToGrid w:val="0"/>
      <w:color w:val="000000"/>
      <w:kern w:val="0"/>
      <w:sz w:val="24"/>
      <w:szCs w:val="21"/>
      <w:lang w:val="en-US" w:eastAsia="en-US" w:bidi="ar-SA"/>
    </w:rPr>
  </w:style>
  <w:style w:type="paragraph" w:styleId="3">
    <w:name w:val="heading 2"/>
    <w:basedOn w:val="1"/>
    <w:next w:val="1"/>
    <w:link w:val="17"/>
    <w:unhideWhenUsed/>
    <w:qFormat/>
    <w:uiPriority w:val="0"/>
    <w:pPr>
      <w:keepNext/>
      <w:keepLines/>
      <w:spacing w:before="120" w:beforeLines="0" w:beforeAutospacing="0" w:after="140" w:afterLines="0" w:afterAutospacing="0" w:line="360" w:lineRule="auto"/>
      <w:ind w:firstLine="0" w:firstLineChars="0"/>
      <w:outlineLvl w:val="1"/>
    </w:pPr>
    <w:rPr>
      <w:rFonts w:ascii="Arial" w:hAnsi="Arial"/>
      <w:b/>
      <w:sz w:val="28"/>
    </w:rPr>
  </w:style>
  <w:style w:type="paragraph" w:styleId="4">
    <w:name w:val="heading 3"/>
    <w:basedOn w:val="1"/>
    <w:next w:val="1"/>
    <w:unhideWhenUsed/>
    <w:qFormat/>
    <w:uiPriority w:val="0"/>
    <w:pPr>
      <w:keepNext/>
      <w:keepLines/>
      <w:spacing w:before="120" w:beforeLines="0" w:beforeAutospacing="0" w:after="140" w:afterLines="0" w:afterAutospacing="0" w:line="360" w:lineRule="auto"/>
      <w:ind w:firstLine="0" w:firstLineChars="0"/>
      <w:outlineLvl w:val="2"/>
    </w:pPr>
    <w:rPr>
      <w:rFonts w:ascii="Arial" w:hAnsi="Arial"/>
      <w:b/>
      <w:sz w:val="24"/>
    </w:rPr>
  </w:style>
  <w:style w:type="paragraph" w:styleId="5">
    <w:name w:val="heading 4"/>
    <w:basedOn w:val="1"/>
    <w:next w:val="1"/>
    <w:unhideWhenUsed/>
    <w:qFormat/>
    <w:uiPriority w:val="0"/>
    <w:pPr>
      <w:keepNext/>
      <w:keepLines/>
      <w:spacing w:before="120" w:beforeLines="0" w:beforeAutospacing="0" w:after="120" w:afterLines="0" w:afterAutospacing="0" w:line="360" w:lineRule="auto"/>
      <w:outlineLvl w:val="3"/>
    </w:pPr>
    <w:rPr>
      <w:rFonts w:ascii="Times New Roman" w:hAnsi="Times New Roman"/>
      <w:b/>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toc 3"/>
    <w:basedOn w:val="1"/>
    <w:next w:val="1"/>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4"/>
    <w:basedOn w:val="1"/>
    <w:next w:val="1"/>
    <w:uiPriority w:val="0"/>
    <w:pPr>
      <w:ind w:left="1260" w:leftChars="600"/>
    </w:pPr>
  </w:style>
  <w:style w:type="paragraph" w:styleId="11">
    <w:name w:val="toc 2"/>
    <w:basedOn w:val="1"/>
    <w:next w:val="1"/>
    <w:uiPriority w:val="0"/>
    <w:pPr>
      <w:ind w:left="420" w:leftChars="200"/>
    </w:pPr>
  </w:style>
  <w:style w:type="table" w:styleId="13">
    <w:name w:val="Table Grid"/>
    <w:basedOn w:val="12"/>
    <w:qFormat/>
    <w:uiPriority w:val="3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微软雅黑" w:hAnsi="微软雅黑" w:eastAsia="微软雅黑" w:cs="微软雅黑"/>
      <w:sz w:val="24"/>
      <w:szCs w:val="24"/>
      <w:lang w:val="en-US" w:eastAsia="en-US" w:bidi="ar-SA"/>
    </w:rPr>
  </w:style>
  <w:style w:type="character" w:customStyle="1" w:styleId="17">
    <w:name w:val="标题 2 Char"/>
    <w:link w:val="3"/>
    <w:qFormat/>
    <w:uiPriority w:val="0"/>
    <w:rPr>
      <w:rFonts w:ascii="Arial" w:hAnsi="Arial"/>
      <w:b/>
      <w:sz w:val="28"/>
    </w:rPr>
  </w:style>
  <w:style w:type="paragraph" w:customStyle="1" w:styleId="18">
    <w:name w:val="正文内容"/>
    <w:autoRedefine/>
    <w:qFormat/>
    <w:uiPriority w:val="0"/>
    <w:pPr>
      <w:spacing w:line="360" w:lineRule="auto"/>
      <w:ind w:firstLine="420" w:firstLineChars="200"/>
      <w:jc w:val="both"/>
    </w:pPr>
    <w:rPr>
      <w:rFonts w:ascii="Times New Roman" w:hAnsi="Times New Roman"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9763</Words>
  <Characters>10477</Characters>
  <TotalTime>4</TotalTime>
  <ScaleCrop>false</ScaleCrop>
  <LinksUpToDate>false</LinksUpToDate>
  <CharactersWithSpaces>10772</CharactersWithSpaces>
  <Application>WPS Office_12.1.0.26884_F1E327BC-269C-435d-A152-05C5408002CA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2026-04-20T15:59:00Z</dcterms:created>
  <dc:creator>liuxy</dc:creator>
  <cp:lastModifiedBy>wangm</cp:lastModifiedBy>
  <dcterms:modified xsi:type="dcterms:W3CDTF">2026-07-30T15:11:08Z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2026-07-20T22:04:18Z</vt:filetime>
  </property>
  <property fmtid="{D5CDD505-2E9C-101B-9397-08002B2CF9AE}" pid="4" name="KSOTemplateDocerSaveRecord">
    <vt:lpwstr>eyJoZGlkIjoiYmRkYjVkNDdlYTJlODBkMTIzYmQ1ZjdjMjNjZTRhMGQiLCJ1c2VySWQiOiI1MzY1NTcwNDMifQ==</vt:lpwstr>
  </property>
  <property fmtid="{D5CDD505-2E9C-101B-9397-08002B2CF9AE}" pid="5" name="KSOProductBuildVer">
    <vt:lpwstr>2052-12.1.0.26884</vt:lpwstr>
  </property>
  <property fmtid="{D5CDD505-2E9C-101B-9397-08002B2CF9AE}" pid="6" name="ICV">
    <vt:lpwstr>B4FFF9CE727D48528093F617613A09BC_13</vt:lpwstr>
  </property>
</Properties>
</file>