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E8DEE">
      <w:pPr>
        <w:adjustRightInd/>
        <w:spacing w:line="320" w:lineRule="exact"/>
        <w:rPr>
          <w:rFonts w:hint="default" w:ascii="黑体" w:hAnsi="黑体" w:eastAsia="黑体" w:cs="Times New Roman"/>
          <w:sz w:val="24"/>
          <w:szCs w:val="24"/>
          <w:lang w:val="en-US" w:eastAsia="zh-CN"/>
        </w:rPr>
      </w:pPr>
      <w:r>
        <w:rPr>
          <w:rFonts w:ascii="黑体" w:hAnsi="黑体" w:eastAsia="黑体" w:cs="Times New Roman"/>
          <w:sz w:val="24"/>
          <w:szCs w:val="24"/>
        </w:rPr>
        <w:t>ICS</w:t>
      </w:r>
      <w:r>
        <w:rPr>
          <w:rFonts w:hint="eastAsia" w:ascii="黑体" w:hAnsi="黑体" w:eastAsia="黑体" w:cs="Times New Roman"/>
          <w:sz w:val="24"/>
          <w:szCs w:val="24"/>
          <w:lang w:val="en-US" w:eastAsia="zh-CN"/>
        </w:rPr>
        <w:t xml:space="preserve"> 65 020</w:t>
      </w:r>
    </w:p>
    <w:p w14:paraId="44766C38">
      <w:pPr>
        <w:adjustRightInd/>
        <w:spacing w:line="240" w:lineRule="auto"/>
        <w:rPr>
          <w:rFonts w:hint="default" w:ascii="宋体" w:hAnsi="宋体" w:eastAsia="宋体" w:cs="Times New Roman"/>
          <w:szCs w:val="22"/>
          <w:lang w:val="en-US" w:eastAsia="zh-CN"/>
        </w:rPr>
      </w:pPr>
      <w:r>
        <w:rPr>
          <w:rFonts w:hint="eastAsia" w:ascii="黑体" w:hAnsi="黑体" w:eastAsia="黑体" w:cs="Times New Roman"/>
          <w:sz w:val="24"/>
          <w:szCs w:val="24"/>
          <w:lang w:val="en-US" w:eastAsia="zh-CN"/>
        </w:rPr>
        <w:t>CCS B 05</w:t>
      </w:r>
    </w:p>
    <w:p w14:paraId="0E2274CB">
      <w:pPr>
        <w:adjustRightInd/>
        <w:spacing w:line="240" w:lineRule="auto"/>
        <w:rPr>
          <w:rFonts w:hint="eastAsia" w:ascii="宋体" w:hAnsi="宋体" w:cs="Times New Roman"/>
          <w:szCs w:val="22"/>
        </w:rPr>
      </w:pPr>
    </w:p>
    <w:p w14:paraId="5AE7380E">
      <w:pPr>
        <w:adjustRightInd/>
        <w:spacing w:line="240" w:lineRule="auto"/>
        <w:jc w:val="center"/>
        <w:rPr>
          <w:rFonts w:hint="eastAsia" w:ascii="宋体" w:hAnsi="宋体" w:cs="Times New Roman"/>
          <w:szCs w:val="22"/>
        </w:rPr>
      </w:pPr>
    </w:p>
    <w:p w14:paraId="735E66A5">
      <w:pPr>
        <w:adjustRightInd/>
        <w:spacing w:line="240" w:lineRule="auto"/>
        <w:jc w:val="center"/>
        <w:rPr>
          <w:rFonts w:hint="eastAsia" w:ascii="宋体" w:hAnsi="宋体" w:cs="Times New Roman"/>
          <w:szCs w:val="22"/>
        </w:rPr>
      </w:pPr>
    </w:p>
    <w:p w14:paraId="5C44D828">
      <w:pPr>
        <w:adjustRightInd/>
        <w:spacing w:line="240" w:lineRule="auto"/>
        <w:jc w:val="center"/>
        <w:rPr>
          <w:rFonts w:hint="eastAsia" w:ascii="宋体" w:hAnsi="宋体" w:cs="Times New Roman"/>
          <w:szCs w:val="22"/>
        </w:rPr>
      </w:pPr>
    </w:p>
    <w:p w14:paraId="0436A741">
      <w:pPr>
        <w:adjustRightInd/>
        <w:spacing w:line="240" w:lineRule="auto"/>
        <w:jc w:val="center"/>
        <w:rPr>
          <w:rFonts w:hint="eastAsia" w:ascii="宋体" w:hAnsi="宋体" w:cs="Times New Roman"/>
          <w:szCs w:val="22"/>
        </w:rPr>
      </w:pPr>
    </w:p>
    <w:p w14:paraId="0794C7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Times New Roman"/>
          <w:sz w:val="84"/>
          <w:szCs w:val="84"/>
        </w:rPr>
      </w:pPr>
      <w:r>
        <w:rPr>
          <w:rFonts w:hint="eastAsia" w:ascii="黑体" w:hAnsi="黑体" w:eastAsia="黑体" w:cs="Times New Roman"/>
          <w:sz w:val="84"/>
          <w:szCs w:val="84"/>
        </w:rPr>
        <w:t>团    体    标    准</w:t>
      </w:r>
    </w:p>
    <w:p w14:paraId="71C66580">
      <w:pPr>
        <w:wordWrap w:val="0"/>
        <w:adjustRightInd/>
        <w:spacing w:line="240" w:lineRule="auto"/>
        <w:ind w:right="422" w:rightChars="201"/>
        <w:jc w:val="right"/>
        <w:rPr>
          <w:rFonts w:hint="eastAsia" w:ascii="黑体" w:hAnsi="黑体" w:eastAsia="黑体" w:cs="Times New Roman"/>
          <w:sz w:val="32"/>
          <w:szCs w:val="32"/>
        </w:rPr>
      </w:pPr>
      <w:r>
        <w:rPr>
          <w:rFonts w:hint="eastAsia" w:ascii="黑体" w:hAnsi="黑体" w:eastAsia="黑体" w:cs="Times New Roman"/>
          <w:sz w:val="32"/>
          <w:szCs w:val="32"/>
        </w:rPr>
        <w:t xml:space="preserve">T/ZGDLXH </w:t>
      </w:r>
      <w:r>
        <w:rPr>
          <w:rFonts w:hint="eastAsia" w:ascii="黑体" w:hAnsi="黑体" w:eastAsia="黑体" w:cs="Times New Roman"/>
          <w:sz w:val="32"/>
          <w:szCs w:val="32"/>
          <w:lang w:val="en-US" w:eastAsia="zh-CN"/>
        </w:rPr>
        <w:t>JH</w:t>
      </w:r>
      <w:r>
        <w:rPr>
          <w:rFonts w:hint="eastAsia" w:ascii="黑体" w:hAnsi="黑体" w:eastAsia="黑体" w:cs="Times New Roman"/>
          <w:sz w:val="32"/>
          <w:szCs w:val="32"/>
        </w:rPr>
        <w:t>—</w:t>
      </w:r>
      <w:r>
        <w:rPr>
          <w:rFonts w:hint="eastAsia" w:ascii="黑体" w:hAnsi="黑体" w:eastAsia="黑体" w:cs="Times New Roman"/>
          <w:sz w:val="32"/>
          <w:szCs w:val="32"/>
          <w:lang w:val="en-US" w:eastAsia="zh-CN"/>
        </w:rPr>
        <w:t>009</w:t>
      </w:r>
      <w:r>
        <w:rPr>
          <w:rFonts w:hint="eastAsia" w:ascii="黑体" w:hAnsi="黑体" w:eastAsia="黑体" w:cs="Times New Roman"/>
          <w:sz w:val="32"/>
          <w:szCs w:val="32"/>
        </w:rPr>
        <w:t>—</w:t>
      </w:r>
      <w:r>
        <w:rPr>
          <w:rFonts w:hint="eastAsia" w:ascii="黑体" w:hAnsi="黑体" w:eastAsia="黑体" w:cs="Times New Roman"/>
          <w:sz w:val="32"/>
          <w:szCs w:val="32"/>
          <w:lang w:val="en-US" w:eastAsia="zh-CN"/>
        </w:rPr>
        <w:t>2025</w:t>
      </w:r>
    </w:p>
    <w:p w14:paraId="6330C540">
      <w:pPr>
        <w:adjustRightInd/>
        <w:spacing w:line="240" w:lineRule="auto"/>
        <w:ind w:left="-283" w:leftChars="-135"/>
        <w:rPr>
          <w:rFonts w:cs="Times New Roman"/>
          <w:b/>
          <w:sz w:val="48"/>
          <w:szCs w:val="48"/>
        </w:rPr>
      </w:pPr>
      <w:r>
        <w:rPr>
          <w:rFonts w:ascii="Times New Roman" w:hAnsi="Times New Roman" w:cs="Times New Roman"/>
          <w:szCs w:val="24"/>
        </w:rPr>
        <mc:AlternateContent>
          <mc:Choice Requires="wps">
            <w:drawing>
              <wp:anchor distT="0" distB="0" distL="114300" distR="114300" simplePos="0" relativeHeight="251659264" behindDoc="0" locked="0" layoutInCell="1" allowOverlap="1">
                <wp:simplePos x="0" y="0"/>
                <wp:positionH relativeFrom="column">
                  <wp:posOffset>-137160</wp:posOffset>
                </wp:positionH>
                <wp:positionV relativeFrom="paragraph">
                  <wp:posOffset>-3175</wp:posOffset>
                </wp:positionV>
                <wp:extent cx="6068695" cy="14605"/>
                <wp:effectExtent l="0" t="0" r="0" b="0"/>
                <wp:wrapNone/>
                <wp:docPr id="5" name="AutoShape 4"/>
                <wp:cNvGraphicFramePr/>
                <a:graphic xmlns:a="http://schemas.openxmlformats.org/drawingml/2006/main">
                  <a:graphicData uri="http://schemas.microsoft.com/office/word/2010/wordprocessingShape">
                    <wps:wsp>
                      <wps:cNvCnPr>
                        <a:cxnSpLocks noChangeShapeType="1"/>
                      </wps:cNvCnPr>
                      <wps:spPr bwMode="auto">
                        <a:xfrm flipV="1">
                          <a:off x="0" y="0"/>
                          <a:ext cx="6068695" cy="14605"/>
                        </a:xfrm>
                        <a:prstGeom prst="straightConnector1">
                          <a:avLst/>
                        </a:prstGeom>
                        <a:noFill/>
                        <a:ln w="19050">
                          <a:solidFill>
                            <a:srgbClr val="000000"/>
                          </a:solidFill>
                          <a:round/>
                        </a:ln>
                      </wps:spPr>
                      <wps:bodyPr/>
                    </wps:wsp>
                  </a:graphicData>
                </a:graphic>
              </wp:anchor>
            </w:drawing>
          </mc:Choice>
          <mc:Fallback>
            <w:pict>
              <v:shape id="AutoShape 4" o:spid="_x0000_s1026" o:spt="32" type="#_x0000_t32" style="position:absolute;left:0pt;flip:y;margin-left:-10.8pt;margin-top:-0.25pt;height:1.15pt;width:477.85pt;z-index:251659264;mso-width-relative:page;mso-height-relative:page;" filled="f" stroked="t" coordsize="21600,21600" o:gfxdata="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vfe1ctcAAAAHAQAADwAA&#10;AAAAAAABACAAAAAiAAAAZHJzL2Rvd25yZXYueG1sUEsBAhQAFAAAAAgAh07iQF1QNEjeAQAAwQMA&#10;AA4AAAAAAAAAAQAgAAAAJgEAAGRycy9lMm9Eb2MueG1sUEsFBgAAAAAGAAYAWQEAAHYFAAAAAA==&#10;">
                <v:fill on="f" focussize="0,0"/>
                <v:stroke weight="1.5pt" color="#000000" joinstyle="round"/>
                <v:imagedata o:title=""/>
                <o:lock v:ext="edit" aspectratio="f"/>
              </v:shape>
            </w:pict>
          </mc:Fallback>
        </mc:AlternateContent>
      </w:r>
    </w:p>
    <w:p w14:paraId="610C1BDD">
      <w:pPr>
        <w:adjustRightInd/>
        <w:spacing w:line="240" w:lineRule="auto"/>
        <w:rPr>
          <w:rFonts w:cs="Times New Roman"/>
          <w:b/>
          <w:sz w:val="48"/>
          <w:szCs w:val="48"/>
        </w:rPr>
      </w:pPr>
    </w:p>
    <w:p w14:paraId="2895D18A">
      <w:pPr>
        <w:adjustRightInd/>
        <w:spacing w:line="240" w:lineRule="auto"/>
        <w:jc w:val="center"/>
        <w:rPr>
          <w:rFonts w:cs="Times New Roman"/>
          <w:b/>
        </w:rPr>
      </w:pPr>
    </w:p>
    <w:p w14:paraId="16947653">
      <w:pPr>
        <w:adjustRightInd/>
        <w:spacing w:line="240" w:lineRule="auto"/>
        <w:jc w:val="center"/>
        <w:rPr>
          <w:rFonts w:cs="Times New Roman"/>
          <w:b/>
        </w:rPr>
      </w:pPr>
    </w:p>
    <w:p w14:paraId="6315F50D">
      <w:pPr>
        <w:keepNext w:val="0"/>
        <w:keepLines w:val="0"/>
        <w:pageBreakBefore w:val="0"/>
        <w:widowControl w:val="0"/>
        <w:kinsoku/>
        <w:wordWrap/>
        <w:overflowPunct/>
        <w:topLinePunct w:val="0"/>
        <w:autoSpaceDE/>
        <w:autoSpaceDN/>
        <w:bidi w:val="0"/>
        <w:adjustRightInd w:val="0"/>
        <w:snapToGrid/>
        <w:spacing w:before="156" w:beforeLines="50" w:after="156" w:afterLines="50" w:line="240" w:lineRule="auto"/>
        <w:jc w:val="center"/>
        <w:textAlignment w:val="auto"/>
        <w:rPr>
          <w:rFonts w:hint="eastAsia" w:ascii="Times New Roman" w:hAnsi="Times New Roman" w:eastAsia="黑体"/>
          <w:sz w:val="44"/>
          <w:szCs w:val="44"/>
          <w:lang w:val="en-US" w:eastAsia="zh-CN"/>
        </w:rPr>
      </w:pPr>
      <w:r>
        <w:rPr>
          <w:rFonts w:hint="eastAsia" w:ascii="Times New Roman" w:hAnsi="Times New Roman" w:eastAsia="黑体"/>
          <w:sz w:val="44"/>
          <w:szCs w:val="44"/>
        </w:rPr>
        <w:t>地标生境</w:t>
      </w:r>
      <w:r>
        <w:rPr>
          <w:rFonts w:hint="eastAsia" w:ascii="Times New Roman" w:hAnsi="Times New Roman" w:eastAsia="黑体"/>
          <w:sz w:val="44"/>
          <w:szCs w:val="44"/>
          <w:lang w:val="en-US" w:eastAsia="zh-CN"/>
        </w:rPr>
        <w:t xml:space="preserve"> 吉林</w:t>
      </w:r>
      <w:r>
        <w:rPr>
          <w:rFonts w:hint="eastAsia" w:ascii="Times New Roman" w:hAnsi="Times New Roman" w:eastAsia="黑体"/>
          <w:sz w:val="44"/>
          <w:szCs w:val="44"/>
        </w:rPr>
        <w:t>磐石千塘稻</w:t>
      </w:r>
      <w:r>
        <w:rPr>
          <w:rFonts w:hint="eastAsia" w:ascii="Times New Roman" w:hAnsi="Times New Roman" w:eastAsia="黑体"/>
          <w:sz w:val="44"/>
          <w:szCs w:val="44"/>
          <w:lang w:val="en-US" w:eastAsia="zh-CN"/>
        </w:rPr>
        <w:t>永久基本农田案例</w:t>
      </w:r>
    </w:p>
    <w:p w14:paraId="1711F1DF">
      <w:pPr>
        <w:jc w:val="center"/>
        <w:rPr>
          <w:rFonts w:ascii="Times New Roman" w:hAnsi="Times New Roman" w:eastAsia="黑体" w:cs="Times New Roman"/>
          <w:sz w:val="36"/>
          <w:szCs w:val="24"/>
        </w:rPr>
      </w:pPr>
      <w:r>
        <w:rPr>
          <w:rFonts w:hint="eastAsia" w:ascii="Times New Roman" w:hAnsi="Times New Roman" w:eastAsia="黑体" w:cs="Times New Roman"/>
          <w:color w:val="auto"/>
          <w:sz w:val="36"/>
          <w:szCs w:val="24"/>
        </w:rPr>
        <w:t>GIES: Panshi Qiantang Rice Permanent Basic Farmland</w:t>
      </w:r>
      <w:r>
        <w:rPr>
          <w:rFonts w:hint="eastAsia" w:ascii="Times New Roman" w:hAnsi="Times New Roman" w:eastAsia="黑体" w:cs="Times New Roman"/>
          <w:color w:val="C55A11" w:themeColor="accent2" w:themeShade="BF"/>
          <w:sz w:val="36"/>
          <w:szCs w:val="24"/>
        </w:rPr>
        <w:t xml:space="preserve"> </w:t>
      </w:r>
    </w:p>
    <w:p w14:paraId="130EB01E">
      <w:pPr>
        <w:jc w:val="center"/>
        <w:rPr>
          <w:rFonts w:ascii="Times New Roman" w:hAnsi="Times New Roman" w:eastAsia="黑体"/>
          <w:sz w:val="32"/>
          <w:szCs w:val="32"/>
        </w:rPr>
      </w:pPr>
      <w:r>
        <w:rPr>
          <w:rFonts w:hint="eastAsia" w:ascii="Times New Roman" w:hAnsi="Times New Roman" w:eastAsia="黑体"/>
          <w:sz w:val="32"/>
          <w:szCs w:val="32"/>
        </w:rPr>
        <w:t>(征求意见稿</w:t>
      </w:r>
      <w:r>
        <w:rPr>
          <w:rFonts w:ascii="Times New Roman" w:hAnsi="Times New Roman" w:eastAsia="黑体"/>
          <w:sz w:val="32"/>
          <w:szCs w:val="32"/>
        </w:rPr>
        <w:t>)</w:t>
      </w:r>
    </w:p>
    <w:p w14:paraId="358721A0">
      <w:pPr>
        <w:adjustRightInd/>
        <w:spacing w:line="240" w:lineRule="auto"/>
        <w:jc w:val="center"/>
        <w:rPr>
          <w:rFonts w:ascii="Times New Roman" w:hAnsi="Times New Roman" w:eastAsia="黑体" w:cs="Times New Roman"/>
          <w:sz w:val="32"/>
          <w:szCs w:val="32"/>
        </w:rPr>
      </w:pPr>
    </w:p>
    <w:p w14:paraId="1C21CFD8">
      <w:pPr>
        <w:spacing w:before="156" w:beforeLines="50" w:after="156" w:afterLines="50" w:line="240" w:lineRule="auto"/>
        <w:jc w:val="center"/>
        <w:rPr>
          <w:rFonts w:ascii="Times New Roman" w:hAnsi="Times New Roman" w:eastAsia="黑体"/>
          <w:sz w:val="36"/>
        </w:rPr>
      </w:pPr>
    </w:p>
    <w:p w14:paraId="582F4757">
      <w:pPr>
        <w:spacing w:before="156" w:beforeLines="50" w:after="156" w:afterLines="50" w:line="240" w:lineRule="auto"/>
        <w:jc w:val="center"/>
        <w:rPr>
          <w:rFonts w:ascii="Times New Roman" w:hAnsi="Times New Roman" w:eastAsia="黑体"/>
          <w:sz w:val="36"/>
        </w:rPr>
      </w:pPr>
    </w:p>
    <w:p w14:paraId="28D0C573">
      <w:pPr>
        <w:spacing w:before="156" w:beforeLines="50" w:after="156" w:afterLines="50" w:line="240" w:lineRule="auto"/>
        <w:jc w:val="center"/>
        <w:rPr>
          <w:rFonts w:ascii="Times New Roman" w:hAnsi="Times New Roman" w:eastAsia="黑体"/>
          <w:sz w:val="36"/>
        </w:rPr>
      </w:pPr>
    </w:p>
    <w:p w14:paraId="1375E42D">
      <w:pPr>
        <w:spacing w:before="156" w:beforeLines="50" w:after="156" w:afterLines="50" w:line="240" w:lineRule="auto"/>
        <w:jc w:val="center"/>
        <w:rPr>
          <w:rFonts w:ascii="Times New Roman" w:hAnsi="Times New Roman" w:eastAsia="黑体"/>
          <w:sz w:val="36"/>
        </w:rPr>
      </w:pPr>
    </w:p>
    <w:p w14:paraId="11F6AAD2">
      <w:pPr>
        <w:adjustRightInd/>
        <w:spacing w:line="600" w:lineRule="auto"/>
        <w:rPr>
          <w:rFonts w:cs="Times New Roman"/>
          <w:sz w:val="30"/>
          <w:szCs w:val="30"/>
        </w:rPr>
      </w:pPr>
    </w:p>
    <w:p w14:paraId="3F03E214">
      <w:pPr>
        <w:tabs>
          <w:tab w:val="left" w:pos="8400"/>
        </w:tabs>
        <w:adjustRightInd/>
        <w:spacing w:line="600" w:lineRule="auto"/>
        <w:rPr>
          <w:rFonts w:hint="eastAsia" w:ascii="黑体" w:hAnsi="黑体" w:eastAsia="黑体" w:cs="Times New Roman"/>
          <w:sz w:val="30"/>
          <w:szCs w:val="30"/>
        </w:rPr>
      </w:pPr>
      <w:r>
        <w:rPr>
          <w:rFonts w:cs="Times New Roman"/>
          <w:sz w:val="30"/>
          <w:szCs w:val="30"/>
        </w:rPr>
        <mc:AlternateContent>
          <mc:Choice Requires="wps">
            <w:drawing>
              <wp:anchor distT="0" distB="0" distL="114300" distR="114300" simplePos="0" relativeHeight="251660288" behindDoc="0" locked="0" layoutInCell="1" allowOverlap="1">
                <wp:simplePos x="0" y="0"/>
                <wp:positionH relativeFrom="column">
                  <wp:posOffset>-172085</wp:posOffset>
                </wp:positionH>
                <wp:positionV relativeFrom="paragraph">
                  <wp:posOffset>407670</wp:posOffset>
                </wp:positionV>
                <wp:extent cx="6120130" cy="0"/>
                <wp:effectExtent l="0" t="0" r="0" b="0"/>
                <wp:wrapNone/>
                <wp:docPr id="22" name="AutoShape 4"/>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19050">
                          <a:solidFill>
                            <a:srgbClr val="000000"/>
                          </a:solidFill>
                          <a:round/>
                        </a:ln>
                      </wps:spPr>
                      <wps:bodyPr/>
                    </wps:wsp>
                  </a:graphicData>
                </a:graphic>
              </wp:anchor>
            </w:drawing>
          </mc:Choice>
          <mc:Fallback>
            <w:pict>
              <v:shape id="AutoShape 4" o:spid="_x0000_s1026" o:spt="32" type="#_x0000_t32" style="position:absolute;left:0pt;margin-left:-13.55pt;margin-top:32.1pt;height:0pt;width:481.9pt;z-index:251660288;mso-width-relative:page;mso-height-relative:page;" filled="f" stroked="t" coordsize="21600,21600" o:gfxdata="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EOjp09QAAAAJAQAADwAAAAAAAAABACAAAAAi&#10;AAAAZHJzL2Rvd25yZXYueG1sUEsBAhQAFAAAAAgAh07iQFW0pu/VAQAAtAMAAA4AAAAAAAAAAQAg&#10;AAAAIwEAAGRycy9lMm9Eb2MueG1sUEsFBgAAAAAGAAYAWQEAAGoFAAAAAA==&#10;">
                <v:fill on="f" focussize="0,0"/>
                <v:stroke weight="1.5pt" color="#000000" joinstyle="round"/>
                <v:imagedata o:title=""/>
                <o:lock v:ext="edit" aspectratio="f"/>
              </v:shape>
            </w:pict>
          </mc:Fallback>
        </mc:AlternateContent>
      </w:r>
      <w:r>
        <w:rPr>
          <w:rFonts w:hint="eastAsia" w:ascii="黑体" w:hAnsi="黑体" w:eastAsia="黑体" w:cs="Times New Roman"/>
          <w:sz w:val="30"/>
          <w:szCs w:val="30"/>
        </w:rPr>
        <w:t>XXXX</w:t>
      </w:r>
      <w:r>
        <w:rPr>
          <w:rFonts w:ascii="黑体" w:hAnsi="黑体" w:eastAsia="黑体" w:cs="Times New Roman"/>
          <w:sz w:val="30"/>
          <w:szCs w:val="30"/>
        </w:rPr>
        <w:t>-xx-xx</w:t>
      </w:r>
      <w:r>
        <w:rPr>
          <w:rFonts w:hint="eastAsia" w:ascii="黑体" w:hAnsi="黑体" w:eastAsia="黑体" w:cs="Times New Roman"/>
          <w:sz w:val="30"/>
          <w:szCs w:val="30"/>
        </w:rPr>
        <w:t>（年-月-日）发布</w:t>
      </w:r>
      <w:r>
        <w:rPr>
          <w:rFonts w:ascii="黑体" w:hAnsi="黑体" w:eastAsia="黑体" w:cs="Times New Roman"/>
          <w:sz w:val="30"/>
          <w:szCs w:val="30"/>
        </w:rPr>
        <w:t xml:space="preserve">   </w:t>
      </w:r>
      <w:r>
        <w:rPr>
          <w:rFonts w:hint="eastAsia" w:ascii="黑体" w:hAnsi="黑体" w:eastAsia="黑体" w:cs="Times New Roman"/>
          <w:sz w:val="30"/>
          <w:szCs w:val="30"/>
        </w:rPr>
        <w:t xml:space="preserve">   </w:t>
      </w:r>
      <w:r>
        <w:rPr>
          <w:rFonts w:ascii="黑体" w:hAnsi="黑体" w:eastAsia="黑体" w:cs="Times New Roman"/>
          <w:sz w:val="30"/>
          <w:szCs w:val="30"/>
        </w:rPr>
        <w:t xml:space="preserve">  </w:t>
      </w:r>
      <w:r>
        <w:rPr>
          <w:rFonts w:hint="eastAsia" w:ascii="黑体" w:hAnsi="黑体" w:eastAsia="黑体" w:cs="Times New Roman"/>
          <w:sz w:val="30"/>
          <w:szCs w:val="30"/>
        </w:rPr>
        <w:t xml:space="preserve"> XXXX</w:t>
      </w:r>
      <w:r>
        <w:rPr>
          <w:rFonts w:ascii="黑体" w:hAnsi="黑体" w:eastAsia="黑体" w:cs="Times New Roman"/>
          <w:sz w:val="30"/>
          <w:szCs w:val="30"/>
        </w:rPr>
        <w:t>-xx-xx</w:t>
      </w:r>
      <w:r>
        <w:rPr>
          <w:rFonts w:hint="eastAsia" w:ascii="黑体" w:hAnsi="黑体" w:eastAsia="黑体" w:cs="Times New Roman"/>
          <w:sz w:val="30"/>
          <w:szCs w:val="30"/>
        </w:rPr>
        <w:t>（年-月-日）实施</w:t>
      </w:r>
    </w:p>
    <w:p w14:paraId="1652B7A3">
      <w:pPr>
        <w:tabs>
          <w:tab w:val="left" w:pos="8400"/>
        </w:tabs>
        <w:adjustRightInd/>
        <w:spacing w:line="600" w:lineRule="auto"/>
        <w:rPr>
          <w:rFonts w:hint="eastAsia" w:ascii="黑体" w:hAnsi="黑体" w:eastAsia="黑体" w:cs="Times New Roman"/>
          <w:sz w:val="30"/>
          <w:szCs w:val="30"/>
        </w:rPr>
      </w:pPr>
    </w:p>
    <w:p w14:paraId="1304DE0E">
      <w:pPr>
        <w:adjustRightInd/>
        <w:spacing w:line="240" w:lineRule="auto"/>
        <w:jc w:val="center"/>
        <w:rPr>
          <w:rFonts w:hint="eastAsia" w:ascii="黑体" w:hAnsi="黑体" w:eastAsia="黑体" w:cs="Times New Roman"/>
          <w:spacing w:val="60"/>
          <w:sz w:val="30"/>
          <w:szCs w:val="30"/>
        </w:rPr>
      </w:pPr>
      <w:r>
        <w:rPr>
          <w:rFonts w:hint="eastAsia" w:ascii="黑体" w:hAnsi="黑体" w:eastAsia="黑体" w:cs="Times New Roman"/>
          <w:sz w:val="30"/>
          <w:szCs w:val="30"/>
        </w:rPr>
        <w:t>中国地理学会</w:t>
      </w:r>
      <w:r>
        <w:rPr>
          <w:rFonts w:hint="eastAsia" w:ascii="黑体" w:hAnsi="黑体" w:eastAsia="黑体"/>
          <w:sz w:val="30"/>
          <w:szCs w:val="30"/>
        </w:rPr>
        <w:t xml:space="preserve">   </w:t>
      </w:r>
      <w:r>
        <w:rPr>
          <w:rFonts w:hint="eastAsia" w:ascii="黑体" w:hAnsi="黑体" w:eastAsia="黑体" w:cs="Times New Roman"/>
          <w:spacing w:val="60"/>
          <w:sz w:val="30"/>
          <w:szCs w:val="30"/>
        </w:rPr>
        <w:t>发布</w:t>
      </w:r>
    </w:p>
    <w:p w14:paraId="56ACDFC7">
      <w:pPr>
        <w:adjustRightInd/>
        <w:spacing w:line="240" w:lineRule="auto"/>
        <w:jc w:val="center"/>
        <w:rPr>
          <w:rFonts w:hint="eastAsia" w:ascii="黑体" w:hAnsi="黑体" w:eastAsia="黑体" w:cs="Times New Roman"/>
          <w:spacing w:val="60"/>
          <w:sz w:val="30"/>
          <w:szCs w:val="30"/>
        </w:rPr>
      </w:pPr>
    </w:p>
    <w:p w14:paraId="0F637114">
      <w:pPr>
        <w:adjustRightInd/>
        <w:spacing w:line="240" w:lineRule="auto"/>
        <w:jc w:val="center"/>
        <w:rPr>
          <w:rFonts w:hint="eastAsia" w:ascii="黑体" w:hAnsi="黑体" w:eastAsia="黑体" w:cs="Times New Roman"/>
          <w:spacing w:val="60"/>
          <w:sz w:val="30"/>
          <w:szCs w:val="30"/>
        </w:rPr>
      </w:pPr>
    </w:p>
    <w:p w14:paraId="359755D1">
      <w:pPr>
        <w:adjustRightInd/>
        <w:spacing w:line="240" w:lineRule="auto"/>
        <w:jc w:val="center"/>
        <w:rPr>
          <w:rFonts w:hint="eastAsia" w:ascii="黑体" w:hAnsi="黑体" w:eastAsia="黑体" w:cs="Times New Roman"/>
          <w:spacing w:val="60"/>
          <w:sz w:val="30"/>
          <w:szCs w:val="30"/>
        </w:rPr>
        <w:sectPr>
          <w:headerReference r:id="rId7" w:type="first"/>
          <w:headerReference r:id="rId5" w:type="default"/>
          <w:footerReference r:id="rId8" w:type="default"/>
          <w:headerReference r:id="rId6" w:type="even"/>
          <w:footerReference r:id="rId9" w:type="even"/>
          <w:pgSz w:w="11906" w:h="16838"/>
          <w:pgMar w:top="567" w:right="1418" w:bottom="1134" w:left="1418" w:header="0" w:footer="992" w:gutter="0"/>
          <w:cols w:space="425" w:num="1"/>
          <w:titlePg/>
          <w:docGrid w:type="lines" w:linePitch="312" w:charSpace="0"/>
        </w:sectPr>
      </w:pPr>
    </w:p>
    <w:p w14:paraId="490D20CC">
      <w:pPr>
        <w:pStyle w:val="46"/>
        <w:spacing w:before="156" w:after="156"/>
        <w:rPr>
          <w:rFonts w:hint="eastAsia" w:eastAsia="黑体"/>
          <w:lang w:eastAsia="zh-CN"/>
        </w:rPr>
      </w:pPr>
      <w:bookmarkStart w:id="0" w:name="_Toc942345"/>
      <w:bookmarkStart w:id="1" w:name="_Toc202256683"/>
      <w:bookmarkStart w:id="2" w:name="_Toc1651879"/>
      <w:bookmarkStart w:id="3" w:name="_Toc942016"/>
      <w:bookmarkStart w:id="4" w:name="_Toc21763"/>
      <w:r>
        <w:rPr>
          <w:rFonts w:hint="eastAsia"/>
        </w:rPr>
        <w:t xml:space="preserve">目    </w:t>
      </w:r>
      <w:bookmarkEnd w:id="0"/>
      <w:bookmarkEnd w:id="1"/>
      <w:bookmarkEnd w:id="2"/>
      <w:bookmarkEnd w:id="3"/>
      <w:r>
        <w:rPr>
          <w:rFonts w:hint="eastAsia"/>
          <w:lang w:val="en-US" w:eastAsia="zh-CN"/>
        </w:rPr>
        <w:t>录</w:t>
      </w:r>
      <w:bookmarkEnd w:id="4"/>
    </w:p>
    <w:p w14:paraId="2590BCD9">
      <w:pPr>
        <w:pStyle w:val="15"/>
        <w:tabs>
          <w:tab w:val="right" w:leader="dot" w:pos="9070"/>
          <w:tab w:val="clear" w:pos="567"/>
          <w:tab w:val="clear" w:pos="840"/>
          <w:tab w:val="clear" w:pos="9060"/>
        </w:tabs>
      </w:pPr>
      <w:r>
        <w:rPr>
          <w:rFonts w:ascii="宋体"/>
        </w:rPr>
        <w:fldChar w:fldCharType="begin"/>
      </w:r>
      <w:r>
        <w:rPr>
          <w:rFonts w:ascii="宋体"/>
        </w:rPr>
        <w:instrText xml:space="preserve"> TOC \h \z \t "章标题,1,目次、前言、引言,1,1章标题,1,标准文件_一级条标题,2,前言标题,1,一级条标题,2,附录标识,1,附录标题,1,附录章标题,2" </w:instrText>
      </w:r>
      <w:r>
        <w:rPr>
          <w:rFonts w:ascii="宋体"/>
        </w:rPr>
        <w:fldChar w:fldCharType="separate"/>
      </w:r>
      <w:r>
        <w:rPr>
          <w:rFonts w:ascii="宋体" w:hAnsi="Times New Roman"/>
        </w:rPr>
        <w:fldChar w:fldCharType="begin"/>
      </w:r>
      <w:r>
        <w:rPr>
          <w:rFonts w:ascii="宋体" w:hAnsi="Times New Roman"/>
        </w:rPr>
        <w:instrText xml:space="preserve"> HYPERLINK \l _Toc18526 </w:instrText>
      </w:r>
      <w:r>
        <w:rPr>
          <w:rFonts w:ascii="宋体" w:hAnsi="Times New Roman"/>
        </w:rPr>
        <w:fldChar w:fldCharType="separate"/>
      </w:r>
      <w:r>
        <w:rPr>
          <w:rFonts w:hint="eastAsia"/>
        </w:rPr>
        <w:t xml:space="preserve">前 </w:t>
      </w:r>
      <w:r>
        <w:t xml:space="preserve">   </w:t>
      </w:r>
      <w:r>
        <w:rPr>
          <w:rFonts w:hint="eastAsia"/>
        </w:rPr>
        <w:t>言</w:t>
      </w:r>
      <w:r>
        <w:tab/>
      </w:r>
      <w:r>
        <w:fldChar w:fldCharType="begin"/>
      </w:r>
      <w:r>
        <w:instrText xml:space="preserve"> PAGEREF _Toc18526 \h </w:instrText>
      </w:r>
      <w:r>
        <w:fldChar w:fldCharType="separate"/>
      </w:r>
      <w:r>
        <w:t>V</w:t>
      </w:r>
      <w:r>
        <w:fldChar w:fldCharType="end"/>
      </w:r>
      <w:r>
        <w:rPr>
          <w:rFonts w:ascii="宋体" w:hAnsi="Times New Roman"/>
        </w:rPr>
        <w:fldChar w:fldCharType="end"/>
      </w:r>
    </w:p>
    <w:p w14:paraId="3120D7ED">
      <w:pPr>
        <w:pStyle w:val="15"/>
        <w:tabs>
          <w:tab w:val="right" w:leader="dot" w:pos="9070"/>
          <w:tab w:val="clear" w:pos="567"/>
          <w:tab w:val="clear" w:pos="840"/>
          <w:tab w:val="clear" w:pos="9060"/>
        </w:tabs>
      </w:pPr>
      <w:r>
        <w:rPr>
          <w:rFonts w:ascii="宋体" w:hAnsi="Times New Roman"/>
        </w:rPr>
        <w:fldChar w:fldCharType="begin"/>
      </w:r>
      <w:r>
        <w:rPr>
          <w:rFonts w:ascii="宋体" w:hAnsi="Times New Roman"/>
        </w:rPr>
        <w:instrText xml:space="preserve"> HYPERLINK \l _Toc28648 </w:instrText>
      </w:r>
      <w:r>
        <w:rPr>
          <w:rFonts w:ascii="宋体" w:hAnsi="Times New Roman"/>
        </w:rPr>
        <w:fldChar w:fldCharType="separate"/>
      </w:r>
      <w:r>
        <w:rPr>
          <w:rFonts w:hint="eastAsia"/>
        </w:rPr>
        <w:t xml:space="preserve">引 </w:t>
      </w:r>
      <w:r>
        <w:t xml:space="preserve">   </w:t>
      </w:r>
      <w:r>
        <w:rPr>
          <w:rFonts w:hint="eastAsia"/>
        </w:rPr>
        <w:t>言</w:t>
      </w:r>
      <w:r>
        <w:tab/>
      </w:r>
      <w:r>
        <w:fldChar w:fldCharType="begin"/>
      </w:r>
      <w:r>
        <w:instrText xml:space="preserve"> PAGEREF _Toc28648 \h </w:instrText>
      </w:r>
      <w:r>
        <w:fldChar w:fldCharType="separate"/>
      </w:r>
      <w:r>
        <w:t>VI</w:t>
      </w:r>
      <w:r>
        <w:fldChar w:fldCharType="end"/>
      </w:r>
      <w:r>
        <w:rPr>
          <w:rFonts w:ascii="宋体" w:hAnsi="Times New Roman"/>
        </w:rPr>
        <w:fldChar w:fldCharType="end"/>
      </w:r>
    </w:p>
    <w:p w14:paraId="54C91385">
      <w:pPr>
        <w:pStyle w:val="15"/>
        <w:tabs>
          <w:tab w:val="right" w:leader="dot" w:pos="9070"/>
          <w:tab w:val="clear" w:pos="567"/>
          <w:tab w:val="clear" w:pos="840"/>
          <w:tab w:val="clear" w:pos="9060"/>
        </w:tabs>
      </w:pPr>
      <w:r>
        <w:rPr>
          <w:rFonts w:ascii="宋体" w:hAnsi="Times New Roman"/>
        </w:rPr>
        <w:fldChar w:fldCharType="begin"/>
      </w:r>
      <w:r>
        <w:rPr>
          <w:rFonts w:ascii="宋体" w:hAnsi="Times New Roman"/>
        </w:rPr>
        <w:instrText xml:space="preserve"> HYPERLINK \l _Toc7655 </w:instrText>
      </w:r>
      <w:r>
        <w:rPr>
          <w:rFonts w:ascii="宋体" w:hAnsi="Times New Roman"/>
        </w:rPr>
        <w:fldChar w:fldCharType="separate"/>
      </w:r>
      <w:r>
        <w:rPr>
          <w:rFonts w:hint="eastAsia"/>
        </w:rPr>
        <w:t>地标生境 吉林磐石千塘稻永久基本农田案例</w:t>
      </w:r>
      <w:r>
        <w:tab/>
      </w:r>
      <w:r>
        <w:fldChar w:fldCharType="begin"/>
      </w:r>
      <w:r>
        <w:instrText xml:space="preserve"> PAGEREF _Toc7655 \h </w:instrText>
      </w:r>
      <w:r>
        <w:fldChar w:fldCharType="separate"/>
      </w:r>
      <w:r>
        <w:t>1</w:t>
      </w:r>
      <w:r>
        <w:fldChar w:fldCharType="end"/>
      </w:r>
      <w:r>
        <w:rPr>
          <w:rFonts w:ascii="宋体" w:hAnsi="Times New Roman"/>
        </w:rPr>
        <w:fldChar w:fldCharType="end"/>
      </w:r>
    </w:p>
    <w:p w14:paraId="4D354932">
      <w:pPr>
        <w:pStyle w:val="15"/>
        <w:tabs>
          <w:tab w:val="right" w:leader="dot" w:pos="9070"/>
          <w:tab w:val="clear" w:pos="567"/>
          <w:tab w:val="clear" w:pos="840"/>
          <w:tab w:val="clear" w:pos="9060"/>
        </w:tabs>
      </w:pPr>
      <w:r>
        <w:rPr>
          <w:rFonts w:ascii="宋体" w:hAnsi="Times New Roman"/>
        </w:rPr>
        <w:fldChar w:fldCharType="begin"/>
      </w:r>
      <w:r>
        <w:rPr>
          <w:rFonts w:ascii="宋体" w:hAnsi="Times New Roman"/>
        </w:rPr>
        <w:instrText xml:space="preserve"> HYPERLINK \l _Toc27076 </w:instrText>
      </w:r>
      <w:r>
        <w:rPr>
          <w:rFonts w:ascii="宋体" w:hAnsi="Times New Roman"/>
        </w:rPr>
        <w:fldChar w:fldCharType="separate"/>
      </w:r>
      <w:r>
        <w:rPr>
          <w:rFonts w:hint="eastAsia" w:ascii="黑体" w:hAnsi="Times New Roman" w:eastAsia="黑体"/>
          <w:bCs w:val="0"/>
          <w:i w:val="0"/>
          <w:iCs w:val="0"/>
          <w:szCs w:val="21"/>
        </w:rPr>
        <w:t xml:space="preserve">1 </w:t>
      </w:r>
      <w:r>
        <w:rPr>
          <w:rFonts w:hint="eastAsia"/>
        </w:rPr>
        <w:t>范围</w:t>
      </w:r>
      <w:r>
        <w:tab/>
      </w:r>
      <w:r>
        <w:fldChar w:fldCharType="begin"/>
      </w:r>
      <w:r>
        <w:instrText xml:space="preserve"> PAGEREF _Toc27076 \h </w:instrText>
      </w:r>
      <w:r>
        <w:fldChar w:fldCharType="separate"/>
      </w:r>
      <w:r>
        <w:t>1</w:t>
      </w:r>
      <w:r>
        <w:fldChar w:fldCharType="end"/>
      </w:r>
      <w:r>
        <w:rPr>
          <w:rFonts w:ascii="宋体" w:hAnsi="Times New Roman"/>
        </w:rPr>
        <w:fldChar w:fldCharType="end"/>
      </w:r>
    </w:p>
    <w:p w14:paraId="5EAF4E7C">
      <w:pPr>
        <w:pStyle w:val="15"/>
        <w:tabs>
          <w:tab w:val="right" w:leader="dot" w:pos="9070"/>
          <w:tab w:val="clear" w:pos="567"/>
          <w:tab w:val="clear" w:pos="840"/>
          <w:tab w:val="clear" w:pos="9060"/>
        </w:tabs>
      </w:pPr>
      <w:r>
        <w:rPr>
          <w:rFonts w:ascii="宋体" w:hAnsi="Times New Roman"/>
        </w:rPr>
        <w:fldChar w:fldCharType="begin"/>
      </w:r>
      <w:r>
        <w:rPr>
          <w:rFonts w:ascii="宋体" w:hAnsi="Times New Roman"/>
        </w:rPr>
        <w:instrText xml:space="preserve"> HYPERLINK \l _Toc31122 </w:instrText>
      </w:r>
      <w:r>
        <w:rPr>
          <w:rFonts w:ascii="宋体" w:hAnsi="Times New Roman"/>
        </w:rPr>
        <w:fldChar w:fldCharType="separate"/>
      </w:r>
      <w:r>
        <w:rPr>
          <w:rFonts w:hint="eastAsia" w:ascii="黑体" w:hAnsi="Times New Roman" w:eastAsia="黑体"/>
          <w:bCs w:val="0"/>
          <w:i w:val="0"/>
          <w:iCs w:val="0"/>
          <w:szCs w:val="21"/>
        </w:rPr>
        <w:t xml:space="preserve">2 </w:t>
      </w:r>
      <w:r>
        <w:rPr>
          <w:rFonts w:hint="eastAsia"/>
        </w:rPr>
        <w:t>规范性引用文件</w:t>
      </w:r>
      <w:r>
        <w:tab/>
      </w:r>
      <w:r>
        <w:fldChar w:fldCharType="begin"/>
      </w:r>
      <w:r>
        <w:instrText xml:space="preserve"> PAGEREF _Toc31122 \h </w:instrText>
      </w:r>
      <w:r>
        <w:fldChar w:fldCharType="separate"/>
      </w:r>
      <w:r>
        <w:t>1</w:t>
      </w:r>
      <w:r>
        <w:fldChar w:fldCharType="end"/>
      </w:r>
      <w:r>
        <w:rPr>
          <w:rFonts w:ascii="宋体" w:hAnsi="Times New Roman"/>
        </w:rPr>
        <w:fldChar w:fldCharType="end"/>
      </w:r>
    </w:p>
    <w:p w14:paraId="242A1E51">
      <w:pPr>
        <w:pStyle w:val="15"/>
        <w:tabs>
          <w:tab w:val="right" w:leader="dot" w:pos="9070"/>
          <w:tab w:val="clear" w:pos="567"/>
          <w:tab w:val="clear" w:pos="840"/>
          <w:tab w:val="clear" w:pos="9060"/>
        </w:tabs>
      </w:pPr>
      <w:r>
        <w:rPr>
          <w:rFonts w:ascii="宋体" w:hAnsi="Times New Roman"/>
        </w:rPr>
        <w:fldChar w:fldCharType="begin"/>
      </w:r>
      <w:r>
        <w:rPr>
          <w:rFonts w:ascii="宋体" w:hAnsi="Times New Roman"/>
        </w:rPr>
        <w:instrText xml:space="preserve"> HYPERLINK \l _Toc20774 </w:instrText>
      </w:r>
      <w:r>
        <w:rPr>
          <w:rFonts w:ascii="宋体" w:hAnsi="Times New Roman"/>
        </w:rPr>
        <w:fldChar w:fldCharType="separate"/>
      </w:r>
      <w:r>
        <w:rPr>
          <w:rFonts w:hint="eastAsia" w:ascii="黑体" w:hAnsi="Times New Roman" w:eastAsia="黑体"/>
          <w:bCs w:val="0"/>
          <w:i w:val="0"/>
          <w:iCs w:val="0"/>
          <w:szCs w:val="21"/>
        </w:rPr>
        <w:t xml:space="preserve">3 </w:t>
      </w:r>
      <w:r>
        <w:rPr>
          <w:rFonts w:hint="eastAsia"/>
        </w:rPr>
        <w:t>术语和定义</w:t>
      </w:r>
      <w:r>
        <w:tab/>
      </w:r>
      <w:r>
        <w:fldChar w:fldCharType="begin"/>
      </w:r>
      <w:r>
        <w:instrText xml:space="preserve"> PAGEREF _Toc20774 \h </w:instrText>
      </w:r>
      <w:r>
        <w:fldChar w:fldCharType="separate"/>
      </w:r>
      <w:r>
        <w:t>2</w:t>
      </w:r>
      <w:r>
        <w:fldChar w:fldCharType="end"/>
      </w:r>
      <w:r>
        <w:rPr>
          <w:rFonts w:ascii="宋体" w:hAnsi="Times New Roman"/>
        </w:rPr>
        <w:fldChar w:fldCharType="end"/>
      </w:r>
    </w:p>
    <w:p w14:paraId="2E118812">
      <w:pPr>
        <w:pStyle w:val="18"/>
        <w:tabs>
          <w:tab w:val="right" w:leader="dot" w:pos="9070"/>
        </w:tabs>
      </w:pPr>
      <w:r>
        <w:rPr>
          <w:rFonts w:ascii="宋体" w:hAnsi="Times New Roman"/>
        </w:rPr>
        <w:fldChar w:fldCharType="begin"/>
      </w:r>
      <w:r>
        <w:rPr>
          <w:rFonts w:ascii="宋体" w:hAnsi="Times New Roman"/>
        </w:rPr>
        <w:instrText xml:space="preserve"> HYPERLINK \l _Toc20965 </w:instrText>
      </w:r>
      <w:r>
        <w:rPr>
          <w:rFonts w:ascii="宋体" w:hAnsi="Times New Roman"/>
        </w:rPr>
        <w:fldChar w:fldCharType="separate"/>
      </w:r>
      <w:r>
        <w:rPr>
          <w:rFonts w:hint="eastAsia" w:ascii="黑体" w:hAnsi="Times New Roman" w:eastAsia="黑体"/>
          <w:bCs w:val="0"/>
          <w:i w:val="0"/>
          <w:iCs w:val="0"/>
          <w:szCs w:val="21"/>
        </w:rPr>
        <w:t xml:space="preserve">3.1 </w:t>
      </w:r>
      <w:r>
        <w:t>地标生境(</w:t>
      </w:r>
      <w:r>
        <w:rPr>
          <w:rFonts w:hint="eastAsia"/>
        </w:rPr>
        <w:t>Geographical Indications Environment &amp; Sustainability，GIES</w:t>
      </w:r>
      <w:r>
        <w:t>)</w:t>
      </w:r>
      <w:r>
        <w:tab/>
      </w:r>
      <w:r>
        <w:fldChar w:fldCharType="begin"/>
      </w:r>
      <w:r>
        <w:instrText xml:space="preserve"> PAGEREF _Toc20965 \h </w:instrText>
      </w:r>
      <w:r>
        <w:fldChar w:fldCharType="separate"/>
      </w:r>
      <w:r>
        <w:t>2</w:t>
      </w:r>
      <w:r>
        <w:fldChar w:fldCharType="end"/>
      </w:r>
      <w:r>
        <w:rPr>
          <w:rFonts w:ascii="宋体" w:hAnsi="Times New Roman"/>
        </w:rPr>
        <w:fldChar w:fldCharType="end"/>
      </w:r>
    </w:p>
    <w:p w14:paraId="057B7514">
      <w:pPr>
        <w:pStyle w:val="18"/>
        <w:tabs>
          <w:tab w:val="right" w:leader="dot" w:pos="9070"/>
        </w:tabs>
      </w:pPr>
      <w:r>
        <w:rPr>
          <w:rFonts w:ascii="宋体" w:hAnsi="Times New Roman"/>
        </w:rPr>
        <w:fldChar w:fldCharType="begin"/>
      </w:r>
      <w:r>
        <w:rPr>
          <w:rFonts w:ascii="宋体" w:hAnsi="Times New Roman"/>
        </w:rPr>
        <w:instrText xml:space="preserve"> HYPERLINK \l _Toc9191 </w:instrText>
      </w:r>
      <w:r>
        <w:rPr>
          <w:rFonts w:ascii="宋体" w:hAnsi="Times New Roman"/>
        </w:rPr>
        <w:fldChar w:fldCharType="separate"/>
      </w:r>
      <w:r>
        <w:rPr>
          <w:rFonts w:hint="eastAsia" w:ascii="黑体" w:hAnsi="Times New Roman" w:eastAsia="黑体"/>
          <w:bCs w:val="0"/>
          <w:i w:val="0"/>
          <w:iCs w:val="0"/>
          <w:szCs w:val="21"/>
        </w:rPr>
        <w:t xml:space="preserve">3.2 </w:t>
      </w:r>
      <w:r>
        <w:rPr>
          <w:rFonts w:hint="eastAsia"/>
        </w:rPr>
        <w:t>千塘稻</w:t>
      </w:r>
      <w:r>
        <w:t xml:space="preserve"> Qiantang (Thousands Reservoirs) Rice</w:t>
      </w:r>
      <w:r>
        <w:tab/>
      </w:r>
      <w:r>
        <w:fldChar w:fldCharType="begin"/>
      </w:r>
      <w:r>
        <w:instrText xml:space="preserve"> PAGEREF _Toc9191 \h </w:instrText>
      </w:r>
      <w:r>
        <w:fldChar w:fldCharType="separate"/>
      </w:r>
      <w:r>
        <w:t>2</w:t>
      </w:r>
      <w:r>
        <w:fldChar w:fldCharType="end"/>
      </w:r>
      <w:r>
        <w:rPr>
          <w:rFonts w:ascii="宋体" w:hAnsi="Times New Roman"/>
        </w:rPr>
        <w:fldChar w:fldCharType="end"/>
      </w:r>
    </w:p>
    <w:p w14:paraId="62F11AED">
      <w:pPr>
        <w:pStyle w:val="15"/>
        <w:tabs>
          <w:tab w:val="right" w:leader="dot" w:pos="9070"/>
          <w:tab w:val="clear" w:pos="567"/>
          <w:tab w:val="clear" w:pos="840"/>
          <w:tab w:val="clear" w:pos="9060"/>
        </w:tabs>
      </w:pPr>
      <w:r>
        <w:rPr>
          <w:rFonts w:ascii="宋体" w:hAnsi="Times New Roman"/>
        </w:rPr>
        <w:fldChar w:fldCharType="begin"/>
      </w:r>
      <w:r>
        <w:rPr>
          <w:rFonts w:ascii="宋体" w:hAnsi="Times New Roman"/>
        </w:rPr>
        <w:instrText xml:space="preserve"> HYPERLINK \l _Toc12564 </w:instrText>
      </w:r>
      <w:r>
        <w:rPr>
          <w:rFonts w:ascii="宋体" w:hAnsi="Times New Roman"/>
        </w:rPr>
        <w:fldChar w:fldCharType="separate"/>
      </w:r>
      <w:r>
        <w:rPr>
          <w:rFonts w:hint="eastAsia" w:ascii="黑体" w:hAnsi="Times New Roman" w:eastAsia="黑体"/>
          <w:bCs w:val="0"/>
          <w:i w:val="0"/>
          <w:iCs w:val="0"/>
          <w:szCs w:val="21"/>
        </w:rPr>
        <w:t xml:space="preserve">4 </w:t>
      </w:r>
      <w:r>
        <w:rPr>
          <w:rFonts w:hint="eastAsia"/>
        </w:rPr>
        <w:t>产地范围</w:t>
      </w:r>
      <w:r>
        <w:tab/>
      </w:r>
      <w:r>
        <w:fldChar w:fldCharType="begin"/>
      </w:r>
      <w:r>
        <w:instrText xml:space="preserve"> PAGEREF _Toc12564 \h </w:instrText>
      </w:r>
      <w:r>
        <w:fldChar w:fldCharType="separate"/>
      </w:r>
      <w:r>
        <w:t>2</w:t>
      </w:r>
      <w:r>
        <w:fldChar w:fldCharType="end"/>
      </w:r>
      <w:r>
        <w:rPr>
          <w:rFonts w:ascii="宋体" w:hAnsi="Times New Roman"/>
        </w:rPr>
        <w:fldChar w:fldCharType="end"/>
      </w:r>
    </w:p>
    <w:p w14:paraId="14BF1A14">
      <w:pPr>
        <w:pStyle w:val="15"/>
        <w:tabs>
          <w:tab w:val="right" w:leader="dot" w:pos="9070"/>
          <w:tab w:val="clear" w:pos="567"/>
          <w:tab w:val="clear" w:pos="840"/>
          <w:tab w:val="clear" w:pos="9060"/>
        </w:tabs>
      </w:pPr>
      <w:r>
        <w:rPr>
          <w:rFonts w:ascii="宋体" w:hAnsi="Times New Roman"/>
        </w:rPr>
        <w:fldChar w:fldCharType="begin"/>
      </w:r>
      <w:r>
        <w:rPr>
          <w:rFonts w:ascii="宋体" w:hAnsi="Times New Roman"/>
        </w:rPr>
        <w:instrText xml:space="preserve"> HYPERLINK \l _Toc16421 </w:instrText>
      </w:r>
      <w:r>
        <w:rPr>
          <w:rFonts w:ascii="宋体" w:hAnsi="Times New Roman"/>
        </w:rPr>
        <w:fldChar w:fldCharType="separate"/>
      </w:r>
      <w:r>
        <w:rPr>
          <w:rFonts w:hint="eastAsia" w:ascii="黑体" w:hAnsi="Times New Roman" w:eastAsia="黑体"/>
          <w:bCs w:val="0"/>
          <w:i w:val="0"/>
          <w:iCs w:val="0"/>
          <w:szCs w:val="21"/>
          <w:lang w:val="en-US" w:eastAsia="zh-CN"/>
        </w:rPr>
        <w:t xml:space="preserve">5 </w:t>
      </w:r>
      <w:r>
        <w:rPr>
          <w:rFonts w:hint="eastAsia"/>
          <w:lang w:val="en-US" w:eastAsia="zh-CN"/>
        </w:rPr>
        <w:t>生境条件</w:t>
      </w:r>
      <w:r>
        <w:tab/>
      </w:r>
      <w:r>
        <w:fldChar w:fldCharType="begin"/>
      </w:r>
      <w:r>
        <w:instrText xml:space="preserve"> PAGEREF _Toc16421 \h </w:instrText>
      </w:r>
      <w:r>
        <w:fldChar w:fldCharType="separate"/>
      </w:r>
      <w:r>
        <w:t>2</w:t>
      </w:r>
      <w:r>
        <w:fldChar w:fldCharType="end"/>
      </w:r>
      <w:r>
        <w:rPr>
          <w:rFonts w:ascii="宋体" w:hAnsi="Times New Roman"/>
        </w:rPr>
        <w:fldChar w:fldCharType="end"/>
      </w:r>
    </w:p>
    <w:p w14:paraId="6A5765C6">
      <w:pPr>
        <w:pStyle w:val="18"/>
        <w:tabs>
          <w:tab w:val="right" w:leader="dot" w:pos="9070"/>
        </w:tabs>
      </w:pPr>
      <w:r>
        <w:rPr>
          <w:rFonts w:ascii="宋体" w:hAnsi="Times New Roman"/>
        </w:rPr>
        <w:fldChar w:fldCharType="begin"/>
      </w:r>
      <w:r>
        <w:rPr>
          <w:rFonts w:ascii="宋体" w:hAnsi="Times New Roman"/>
        </w:rPr>
        <w:instrText xml:space="preserve"> HYPERLINK \l _Toc28310 </w:instrText>
      </w:r>
      <w:r>
        <w:rPr>
          <w:rFonts w:ascii="宋体" w:hAnsi="Times New Roman"/>
        </w:rPr>
        <w:fldChar w:fldCharType="separate"/>
      </w:r>
      <w:r>
        <w:rPr>
          <w:rFonts w:hint="eastAsia" w:ascii="黑体" w:hAnsi="Times New Roman" w:eastAsia="黑体"/>
          <w:bCs w:val="0"/>
          <w:i w:val="0"/>
          <w:iCs w:val="0"/>
          <w:szCs w:val="21"/>
        </w:rPr>
        <w:t xml:space="preserve">5.1 </w:t>
      </w:r>
      <w:r>
        <w:rPr>
          <w:rFonts w:hint="eastAsia"/>
        </w:rPr>
        <w:t>地貌特征</w:t>
      </w:r>
      <w:r>
        <w:tab/>
      </w:r>
      <w:r>
        <w:fldChar w:fldCharType="begin"/>
      </w:r>
      <w:r>
        <w:instrText xml:space="preserve"> PAGEREF _Toc28310 \h </w:instrText>
      </w:r>
      <w:r>
        <w:fldChar w:fldCharType="separate"/>
      </w:r>
      <w:r>
        <w:t>2</w:t>
      </w:r>
      <w:r>
        <w:fldChar w:fldCharType="end"/>
      </w:r>
      <w:r>
        <w:rPr>
          <w:rFonts w:ascii="宋体" w:hAnsi="Times New Roman"/>
        </w:rPr>
        <w:fldChar w:fldCharType="end"/>
      </w:r>
    </w:p>
    <w:p w14:paraId="08451AEE">
      <w:pPr>
        <w:pStyle w:val="18"/>
        <w:tabs>
          <w:tab w:val="right" w:leader="dot" w:pos="9070"/>
        </w:tabs>
      </w:pPr>
      <w:r>
        <w:rPr>
          <w:rFonts w:ascii="宋体" w:hAnsi="Times New Roman"/>
        </w:rPr>
        <w:fldChar w:fldCharType="begin"/>
      </w:r>
      <w:r>
        <w:rPr>
          <w:rFonts w:ascii="宋体" w:hAnsi="Times New Roman"/>
        </w:rPr>
        <w:instrText xml:space="preserve"> HYPERLINK \l _Toc4614 </w:instrText>
      </w:r>
      <w:r>
        <w:rPr>
          <w:rFonts w:ascii="宋体" w:hAnsi="Times New Roman"/>
        </w:rPr>
        <w:fldChar w:fldCharType="separate"/>
      </w:r>
      <w:r>
        <w:rPr>
          <w:rFonts w:hint="eastAsia" w:ascii="黑体" w:hAnsi="Times New Roman" w:eastAsia="黑体"/>
          <w:bCs w:val="0"/>
          <w:i w:val="0"/>
          <w:iCs w:val="0"/>
          <w:szCs w:val="21"/>
        </w:rPr>
        <w:t xml:space="preserve">5.2 </w:t>
      </w:r>
      <w:r>
        <w:rPr>
          <w:rFonts w:hint="eastAsia"/>
        </w:rPr>
        <w:t>日照</w:t>
      </w:r>
      <w:r>
        <w:tab/>
      </w:r>
      <w:r>
        <w:fldChar w:fldCharType="begin"/>
      </w:r>
      <w:r>
        <w:instrText xml:space="preserve"> PAGEREF _Toc4614 \h </w:instrText>
      </w:r>
      <w:r>
        <w:fldChar w:fldCharType="separate"/>
      </w:r>
      <w:r>
        <w:t>2</w:t>
      </w:r>
      <w:r>
        <w:fldChar w:fldCharType="end"/>
      </w:r>
      <w:r>
        <w:rPr>
          <w:rFonts w:ascii="宋体" w:hAnsi="Times New Roman"/>
        </w:rPr>
        <w:fldChar w:fldCharType="end"/>
      </w:r>
    </w:p>
    <w:p w14:paraId="4453B466">
      <w:pPr>
        <w:pStyle w:val="18"/>
        <w:tabs>
          <w:tab w:val="right" w:leader="dot" w:pos="9070"/>
        </w:tabs>
      </w:pPr>
      <w:r>
        <w:rPr>
          <w:rFonts w:ascii="宋体" w:hAnsi="Times New Roman"/>
        </w:rPr>
        <w:fldChar w:fldCharType="begin"/>
      </w:r>
      <w:r>
        <w:rPr>
          <w:rFonts w:ascii="宋体" w:hAnsi="Times New Roman"/>
        </w:rPr>
        <w:instrText xml:space="preserve"> HYPERLINK \l _Toc5726 </w:instrText>
      </w:r>
      <w:r>
        <w:rPr>
          <w:rFonts w:ascii="宋体" w:hAnsi="Times New Roman"/>
        </w:rPr>
        <w:fldChar w:fldCharType="separate"/>
      </w:r>
      <w:r>
        <w:rPr>
          <w:rFonts w:hint="eastAsia" w:ascii="黑体" w:hAnsi="Times New Roman" w:eastAsia="黑体"/>
          <w:bCs w:val="0"/>
          <w:i w:val="0"/>
          <w:iCs w:val="0"/>
          <w:szCs w:val="21"/>
        </w:rPr>
        <w:t xml:space="preserve">5.3 </w:t>
      </w:r>
      <w:r>
        <w:rPr>
          <w:rFonts w:hint="eastAsia"/>
        </w:rPr>
        <w:t>气温</w:t>
      </w:r>
      <w:r>
        <w:tab/>
      </w:r>
      <w:r>
        <w:fldChar w:fldCharType="begin"/>
      </w:r>
      <w:r>
        <w:instrText xml:space="preserve"> PAGEREF _Toc5726 \h </w:instrText>
      </w:r>
      <w:r>
        <w:fldChar w:fldCharType="separate"/>
      </w:r>
      <w:r>
        <w:t>2</w:t>
      </w:r>
      <w:r>
        <w:fldChar w:fldCharType="end"/>
      </w:r>
      <w:r>
        <w:rPr>
          <w:rFonts w:ascii="宋体" w:hAnsi="Times New Roman"/>
        </w:rPr>
        <w:fldChar w:fldCharType="end"/>
      </w:r>
    </w:p>
    <w:p w14:paraId="138BCCE5">
      <w:pPr>
        <w:pStyle w:val="18"/>
        <w:tabs>
          <w:tab w:val="right" w:leader="dot" w:pos="9070"/>
        </w:tabs>
      </w:pPr>
      <w:r>
        <w:rPr>
          <w:rFonts w:ascii="宋体" w:hAnsi="Times New Roman"/>
        </w:rPr>
        <w:fldChar w:fldCharType="begin"/>
      </w:r>
      <w:r>
        <w:rPr>
          <w:rFonts w:ascii="宋体" w:hAnsi="Times New Roman"/>
        </w:rPr>
        <w:instrText xml:space="preserve"> HYPERLINK \l _Toc3208 </w:instrText>
      </w:r>
      <w:r>
        <w:rPr>
          <w:rFonts w:ascii="宋体" w:hAnsi="Times New Roman"/>
        </w:rPr>
        <w:fldChar w:fldCharType="separate"/>
      </w:r>
      <w:r>
        <w:rPr>
          <w:rFonts w:hint="eastAsia" w:ascii="黑体" w:hAnsi="Times New Roman" w:eastAsia="黑体"/>
          <w:bCs w:val="0"/>
          <w:i w:val="0"/>
          <w:iCs w:val="0"/>
          <w:szCs w:val="21"/>
        </w:rPr>
        <w:t xml:space="preserve">5.4 </w:t>
      </w:r>
      <w:r>
        <w:rPr>
          <w:rFonts w:hint="eastAsia"/>
        </w:rPr>
        <w:t>降水</w:t>
      </w:r>
      <w:r>
        <w:tab/>
      </w:r>
      <w:r>
        <w:fldChar w:fldCharType="begin"/>
      </w:r>
      <w:r>
        <w:instrText xml:space="preserve"> PAGEREF _Toc3208 \h </w:instrText>
      </w:r>
      <w:r>
        <w:fldChar w:fldCharType="separate"/>
      </w:r>
      <w:r>
        <w:t>3</w:t>
      </w:r>
      <w:r>
        <w:fldChar w:fldCharType="end"/>
      </w:r>
      <w:r>
        <w:rPr>
          <w:rFonts w:ascii="宋体" w:hAnsi="Times New Roman"/>
        </w:rPr>
        <w:fldChar w:fldCharType="end"/>
      </w:r>
    </w:p>
    <w:p w14:paraId="0EFDD98C">
      <w:pPr>
        <w:pStyle w:val="18"/>
        <w:tabs>
          <w:tab w:val="right" w:leader="dot" w:pos="9070"/>
        </w:tabs>
      </w:pPr>
      <w:r>
        <w:rPr>
          <w:rFonts w:ascii="宋体" w:hAnsi="Times New Roman"/>
        </w:rPr>
        <w:fldChar w:fldCharType="begin"/>
      </w:r>
      <w:r>
        <w:rPr>
          <w:rFonts w:ascii="宋体" w:hAnsi="Times New Roman"/>
        </w:rPr>
        <w:instrText xml:space="preserve"> HYPERLINK \l _Toc29413 </w:instrText>
      </w:r>
      <w:r>
        <w:rPr>
          <w:rFonts w:ascii="宋体" w:hAnsi="Times New Roman"/>
        </w:rPr>
        <w:fldChar w:fldCharType="separate"/>
      </w:r>
      <w:r>
        <w:rPr>
          <w:rFonts w:hint="eastAsia" w:ascii="黑体" w:hAnsi="Times New Roman" w:eastAsia="黑体"/>
          <w:bCs w:val="0"/>
          <w:i w:val="0"/>
          <w:iCs w:val="0"/>
          <w:szCs w:val="21"/>
        </w:rPr>
        <w:t xml:space="preserve">5.5 </w:t>
      </w:r>
      <w:r>
        <w:rPr>
          <w:rFonts w:hint="eastAsia"/>
        </w:rPr>
        <w:t>土壤</w:t>
      </w:r>
      <w:r>
        <w:tab/>
      </w:r>
      <w:r>
        <w:fldChar w:fldCharType="begin"/>
      </w:r>
      <w:r>
        <w:instrText xml:space="preserve"> PAGEREF _Toc29413 \h </w:instrText>
      </w:r>
      <w:r>
        <w:fldChar w:fldCharType="separate"/>
      </w:r>
      <w:r>
        <w:t>3</w:t>
      </w:r>
      <w:r>
        <w:fldChar w:fldCharType="end"/>
      </w:r>
      <w:r>
        <w:rPr>
          <w:rFonts w:ascii="宋体" w:hAnsi="Times New Roman"/>
        </w:rPr>
        <w:fldChar w:fldCharType="end"/>
      </w:r>
    </w:p>
    <w:p w14:paraId="2A057068">
      <w:pPr>
        <w:pStyle w:val="18"/>
        <w:tabs>
          <w:tab w:val="right" w:leader="dot" w:pos="9070"/>
        </w:tabs>
      </w:pPr>
      <w:r>
        <w:rPr>
          <w:rFonts w:ascii="宋体" w:hAnsi="Times New Roman"/>
        </w:rPr>
        <w:fldChar w:fldCharType="begin"/>
      </w:r>
      <w:r>
        <w:rPr>
          <w:rFonts w:ascii="宋体" w:hAnsi="Times New Roman"/>
        </w:rPr>
        <w:instrText xml:space="preserve"> HYPERLINK \l _Toc11758 </w:instrText>
      </w:r>
      <w:r>
        <w:rPr>
          <w:rFonts w:ascii="宋体" w:hAnsi="Times New Roman"/>
        </w:rPr>
        <w:fldChar w:fldCharType="separate"/>
      </w:r>
      <w:r>
        <w:rPr>
          <w:rFonts w:hint="eastAsia" w:ascii="黑体" w:hAnsi="Times New Roman" w:eastAsia="黑体"/>
          <w:bCs w:val="0"/>
          <w:i w:val="0"/>
          <w:iCs w:val="0"/>
          <w:szCs w:val="21"/>
        </w:rPr>
        <w:t xml:space="preserve">5.6 </w:t>
      </w:r>
      <w:r>
        <w:rPr>
          <w:rFonts w:hint="eastAsia"/>
        </w:rPr>
        <w:t>水源</w:t>
      </w:r>
      <w:r>
        <w:tab/>
      </w:r>
      <w:r>
        <w:fldChar w:fldCharType="begin"/>
      </w:r>
      <w:r>
        <w:instrText xml:space="preserve"> PAGEREF _Toc11758 \h </w:instrText>
      </w:r>
      <w:r>
        <w:fldChar w:fldCharType="separate"/>
      </w:r>
      <w:r>
        <w:t>3</w:t>
      </w:r>
      <w:r>
        <w:fldChar w:fldCharType="end"/>
      </w:r>
      <w:r>
        <w:rPr>
          <w:rFonts w:ascii="宋体" w:hAnsi="Times New Roman"/>
        </w:rPr>
        <w:fldChar w:fldCharType="end"/>
      </w:r>
    </w:p>
    <w:p w14:paraId="678D38C0">
      <w:pPr>
        <w:pStyle w:val="18"/>
        <w:tabs>
          <w:tab w:val="right" w:leader="dot" w:pos="9070"/>
        </w:tabs>
      </w:pPr>
      <w:r>
        <w:rPr>
          <w:rFonts w:ascii="宋体" w:hAnsi="Times New Roman"/>
        </w:rPr>
        <w:fldChar w:fldCharType="begin"/>
      </w:r>
      <w:r>
        <w:rPr>
          <w:rFonts w:ascii="宋体" w:hAnsi="Times New Roman"/>
        </w:rPr>
        <w:instrText xml:space="preserve"> HYPERLINK \l _Toc6241 </w:instrText>
      </w:r>
      <w:r>
        <w:rPr>
          <w:rFonts w:ascii="宋体" w:hAnsi="Times New Roman"/>
        </w:rPr>
        <w:fldChar w:fldCharType="separate"/>
      </w:r>
      <w:r>
        <w:rPr>
          <w:rFonts w:hint="eastAsia" w:ascii="黑体" w:hAnsi="Times New Roman" w:eastAsia="黑体"/>
          <w:bCs w:val="0"/>
          <w:i w:val="0"/>
          <w:iCs w:val="0"/>
          <w:szCs w:val="21"/>
        </w:rPr>
        <w:t xml:space="preserve">5.7 </w:t>
      </w:r>
      <w:r>
        <w:rPr>
          <w:rFonts w:hint="eastAsia"/>
        </w:rPr>
        <w:t>水质要求</w:t>
      </w:r>
      <w:r>
        <w:tab/>
      </w:r>
      <w:r>
        <w:fldChar w:fldCharType="begin"/>
      </w:r>
      <w:r>
        <w:instrText xml:space="preserve"> PAGEREF _Toc6241 \h </w:instrText>
      </w:r>
      <w:r>
        <w:fldChar w:fldCharType="separate"/>
      </w:r>
      <w:r>
        <w:t>3</w:t>
      </w:r>
      <w:r>
        <w:fldChar w:fldCharType="end"/>
      </w:r>
      <w:r>
        <w:rPr>
          <w:rFonts w:ascii="宋体" w:hAnsi="Times New Roman"/>
        </w:rPr>
        <w:fldChar w:fldCharType="end"/>
      </w:r>
    </w:p>
    <w:p w14:paraId="35059895">
      <w:pPr>
        <w:pStyle w:val="18"/>
        <w:tabs>
          <w:tab w:val="right" w:leader="dot" w:pos="9070"/>
        </w:tabs>
      </w:pPr>
      <w:r>
        <w:rPr>
          <w:rFonts w:ascii="宋体" w:hAnsi="Times New Roman"/>
        </w:rPr>
        <w:fldChar w:fldCharType="begin"/>
      </w:r>
      <w:r>
        <w:rPr>
          <w:rFonts w:ascii="宋体" w:hAnsi="Times New Roman"/>
        </w:rPr>
        <w:instrText xml:space="preserve"> HYPERLINK \l _Toc5264 </w:instrText>
      </w:r>
      <w:r>
        <w:rPr>
          <w:rFonts w:ascii="宋体" w:hAnsi="Times New Roman"/>
        </w:rPr>
        <w:fldChar w:fldCharType="separate"/>
      </w:r>
      <w:r>
        <w:rPr>
          <w:rFonts w:hint="eastAsia" w:ascii="黑体" w:hAnsi="Times New Roman" w:eastAsia="黑体"/>
          <w:bCs w:val="0"/>
          <w:i w:val="0"/>
          <w:iCs w:val="0"/>
          <w:szCs w:val="21"/>
        </w:rPr>
        <w:t xml:space="preserve">5.8 </w:t>
      </w:r>
      <w:r>
        <w:rPr>
          <w:rFonts w:hint="eastAsia"/>
        </w:rPr>
        <w:t>环境空气</w:t>
      </w:r>
      <w:r>
        <w:tab/>
      </w:r>
      <w:r>
        <w:fldChar w:fldCharType="begin"/>
      </w:r>
      <w:r>
        <w:instrText xml:space="preserve"> PAGEREF _Toc5264 \h </w:instrText>
      </w:r>
      <w:r>
        <w:fldChar w:fldCharType="separate"/>
      </w:r>
      <w:r>
        <w:t>3</w:t>
      </w:r>
      <w:r>
        <w:fldChar w:fldCharType="end"/>
      </w:r>
      <w:r>
        <w:rPr>
          <w:rFonts w:ascii="宋体" w:hAnsi="Times New Roman"/>
        </w:rPr>
        <w:fldChar w:fldCharType="end"/>
      </w:r>
    </w:p>
    <w:p w14:paraId="34F530DD">
      <w:pPr>
        <w:pStyle w:val="18"/>
        <w:tabs>
          <w:tab w:val="right" w:leader="dot" w:pos="9070"/>
        </w:tabs>
      </w:pPr>
      <w:r>
        <w:rPr>
          <w:rFonts w:ascii="宋体" w:hAnsi="Times New Roman"/>
        </w:rPr>
        <w:fldChar w:fldCharType="begin"/>
      </w:r>
      <w:r>
        <w:rPr>
          <w:rFonts w:ascii="宋体" w:hAnsi="Times New Roman"/>
        </w:rPr>
        <w:instrText xml:space="preserve"> HYPERLINK \l _Toc736 </w:instrText>
      </w:r>
      <w:r>
        <w:rPr>
          <w:rFonts w:ascii="宋体" w:hAnsi="Times New Roman"/>
        </w:rPr>
        <w:fldChar w:fldCharType="separate"/>
      </w:r>
      <w:r>
        <w:rPr>
          <w:rFonts w:hint="eastAsia" w:ascii="黑体" w:hAnsi="Times New Roman" w:eastAsia="黑体"/>
          <w:bCs w:val="0"/>
          <w:i w:val="0"/>
          <w:iCs w:val="0"/>
          <w:szCs w:val="21"/>
          <w:lang w:val="en-US" w:eastAsia="zh-CN"/>
        </w:rPr>
        <w:t xml:space="preserve">5.9 </w:t>
      </w:r>
      <w:r>
        <w:rPr>
          <w:rFonts w:hint="eastAsia"/>
          <w:lang w:val="en-US" w:eastAsia="zh-CN"/>
        </w:rPr>
        <w:t>生境监测</w:t>
      </w:r>
      <w:r>
        <w:tab/>
      </w:r>
      <w:r>
        <w:fldChar w:fldCharType="begin"/>
      </w:r>
      <w:r>
        <w:instrText xml:space="preserve"> PAGEREF _Toc736 \h </w:instrText>
      </w:r>
      <w:r>
        <w:fldChar w:fldCharType="separate"/>
      </w:r>
      <w:r>
        <w:t>3</w:t>
      </w:r>
      <w:r>
        <w:fldChar w:fldCharType="end"/>
      </w:r>
      <w:r>
        <w:rPr>
          <w:rFonts w:ascii="宋体" w:hAnsi="Times New Roman"/>
        </w:rPr>
        <w:fldChar w:fldCharType="end"/>
      </w:r>
    </w:p>
    <w:p w14:paraId="21CAA715">
      <w:pPr>
        <w:pStyle w:val="15"/>
        <w:tabs>
          <w:tab w:val="right" w:leader="dot" w:pos="9070"/>
          <w:tab w:val="clear" w:pos="567"/>
          <w:tab w:val="clear" w:pos="840"/>
          <w:tab w:val="clear" w:pos="9060"/>
        </w:tabs>
      </w:pPr>
      <w:r>
        <w:rPr>
          <w:rFonts w:ascii="宋体" w:hAnsi="Times New Roman"/>
        </w:rPr>
        <w:fldChar w:fldCharType="begin"/>
      </w:r>
      <w:r>
        <w:rPr>
          <w:rFonts w:ascii="宋体" w:hAnsi="Times New Roman"/>
        </w:rPr>
        <w:instrText xml:space="preserve"> HYPERLINK \l _Toc3852 </w:instrText>
      </w:r>
      <w:r>
        <w:rPr>
          <w:rFonts w:ascii="宋体" w:hAnsi="Times New Roman"/>
        </w:rPr>
        <w:fldChar w:fldCharType="separate"/>
      </w:r>
      <w:r>
        <w:rPr>
          <w:rFonts w:hint="eastAsia" w:ascii="黑体" w:hAnsi="Times New Roman" w:eastAsia="黑体"/>
          <w:bCs w:val="0"/>
          <w:i w:val="0"/>
          <w:iCs w:val="0"/>
          <w:szCs w:val="21"/>
        </w:rPr>
        <w:t xml:space="preserve">6 </w:t>
      </w:r>
      <w:r>
        <w:rPr>
          <w:rFonts w:hint="eastAsia"/>
        </w:rPr>
        <w:t>水稻生产</w:t>
      </w:r>
      <w:r>
        <w:tab/>
      </w:r>
      <w:r>
        <w:fldChar w:fldCharType="begin"/>
      </w:r>
      <w:r>
        <w:instrText xml:space="preserve"> PAGEREF _Toc3852 \h </w:instrText>
      </w:r>
      <w:r>
        <w:fldChar w:fldCharType="separate"/>
      </w:r>
      <w:r>
        <w:t>3</w:t>
      </w:r>
      <w:r>
        <w:fldChar w:fldCharType="end"/>
      </w:r>
      <w:r>
        <w:rPr>
          <w:rFonts w:ascii="宋体" w:hAnsi="Times New Roman"/>
        </w:rPr>
        <w:fldChar w:fldCharType="end"/>
      </w:r>
    </w:p>
    <w:p w14:paraId="0771EDC0">
      <w:pPr>
        <w:pStyle w:val="18"/>
        <w:tabs>
          <w:tab w:val="right" w:leader="dot" w:pos="9070"/>
        </w:tabs>
      </w:pPr>
      <w:r>
        <w:rPr>
          <w:rFonts w:ascii="宋体" w:hAnsi="Times New Roman"/>
        </w:rPr>
        <w:fldChar w:fldCharType="begin"/>
      </w:r>
      <w:r>
        <w:rPr>
          <w:rFonts w:ascii="宋体" w:hAnsi="Times New Roman"/>
        </w:rPr>
        <w:instrText xml:space="preserve"> HYPERLINK \l _Toc9764 </w:instrText>
      </w:r>
      <w:r>
        <w:rPr>
          <w:rFonts w:ascii="宋体" w:hAnsi="Times New Roman"/>
        </w:rPr>
        <w:fldChar w:fldCharType="separate"/>
      </w:r>
      <w:r>
        <w:rPr>
          <w:rFonts w:hint="eastAsia" w:ascii="黑体" w:hAnsi="Times New Roman" w:eastAsia="黑体"/>
          <w:bCs w:val="0"/>
          <w:i w:val="0"/>
          <w:iCs w:val="0"/>
          <w:szCs w:val="21"/>
        </w:rPr>
        <w:t xml:space="preserve">6.1 </w:t>
      </w:r>
      <w:r>
        <w:rPr>
          <w:rFonts w:hint="eastAsia"/>
        </w:rPr>
        <w:t>品种选择</w:t>
      </w:r>
      <w:r>
        <w:tab/>
      </w:r>
      <w:r>
        <w:fldChar w:fldCharType="begin"/>
      </w:r>
      <w:r>
        <w:instrText xml:space="preserve"> PAGEREF _Toc9764 \h </w:instrText>
      </w:r>
      <w:r>
        <w:fldChar w:fldCharType="separate"/>
      </w:r>
      <w:r>
        <w:t>3</w:t>
      </w:r>
      <w:r>
        <w:fldChar w:fldCharType="end"/>
      </w:r>
      <w:r>
        <w:rPr>
          <w:rFonts w:ascii="宋体" w:hAnsi="Times New Roman"/>
        </w:rPr>
        <w:fldChar w:fldCharType="end"/>
      </w:r>
    </w:p>
    <w:p w14:paraId="07444AC2">
      <w:pPr>
        <w:pStyle w:val="18"/>
        <w:tabs>
          <w:tab w:val="right" w:leader="dot" w:pos="9070"/>
        </w:tabs>
      </w:pPr>
      <w:r>
        <w:rPr>
          <w:rFonts w:ascii="宋体" w:hAnsi="Times New Roman"/>
        </w:rPr>
        <w:fldChar w:fldCharType="begin"/>
      </w:r>
      <w:r>
        <w:rPr>
          <w:rFonts w:ascii="宋体" w:hAnsi="Times New Roman"/>
        </w:rPr>
        <w:instrText xml:space="preserve"> HYPERLINK \l _Toc11058 </w:instrText>
      </w:r>
      <w:r>
        <w:rPr>
          <w:rFonts w:ascii="宋体" w:hAnsi="Times New Roman"/>
        </w:rPr>
        <w:fldChar w:fldCharType="separate"/>
      </w:r>
      <w:r>
        <w:rPr>
          <w:rFonts w:hint="eastAsia" w:ascii="黑体" w:hAnsi="Times New Roman" w:eastAsia="黑体"/>
          <w:bCs w:val="0"/>
          <w:i w:val="0"/>
          <w:iCs w:val="0"/>
          <w:szCs w:val="21"/>
        </w:rPr>
        <w:t xml:space="preserve">6.2 </w:t>
      </w:r>
      <w:r>
        <w:rPr>
          <w:rFonts w:hint="eastAsia"/>
        </w:rPr>
        <w:t>种子处理</w:t>
      </w:r>
      <w:r>
        <w:tab/>
      </w:r>
      <w:r>
        <w:fldChar w:fldCharType="begin"/>
      </w:r>
      <w:r>
        <w:instrText xml:space="preserve"> PAGEREF _Toc11058 \h </w:instrText>
      </w:r>
      <w:r>
        <w:fldChar w:fldCharType="separate"/>
      </w:r>
      <w:r>
        <w:t>3</w:t>
      </w:r>
      <w:r>
        <w:fldChar w:fldCharType="end"/>
      </w:r>
      <w:r>
        <w:rPr>
          <w:rFonts w:ascii="宋体" w:hAnsi="Times New Roman"/>
        </w:rPr>
        <w:fldChar w:fldCharType="end"/>
      </w:r>
    </w:p>
    <w:p w14:paraId="73941CAC">
      <w:pPr>
        <w:pStyle w:val="18"/>
        <w:tabs>
          <w:tab w:val="right" w:leader="dot" w:pos="9070"/>
        </w:tabs>
      </w:pPr>
      <w:r>
        <w:rPr>
          <w:rFonts w:ascii="宋体" w:hAnsi="Times New Roman"/>
        </w:rPr>
        <w:fldChar w:fldCharType="begin"/>
      </w:r>
      <w:r>
        <w:rPr>
          <w:rFonts w:ascii="宋体" w:hAnsi="Times New Roman"/>
        </w:rPr>
        <w:instrText xml:space="preserve"> HYPERLINK \l _Toc1395 </w:instrText>
      </w:r>
      <w:r>
        <w:rPr>
          <w:rFonts w:ascii="宋体" w:hAnsi="Times New Roman"/>
        </w:rPr>
        <w:fldChar w:fldCharType="separate"/>
      </w:r>
      <w:r>
        <w:rPr>
          <w:rFonts w:hint="eastAsia" w:ascii="黑体" w:hAnsi="Times New Roman" w:eastAsia="黑体"/>
          <w:bCs w:val="0"/>
          <w:i w:val="0"/>
          <w:iCs w:val="0"/>
          <w:szCs w:val="21"/>
        </w:rPr>
        <w:t xml:space="preserve">6.3 </w:t>
      </w:r>
      <w:r>
        <w:rPr>
          <w:rFonts w:hint="eastAsia"/>
        </w:rPr>
        <w:t>苗期管理</w:t>
      </w:r>
      <w:r>
        <w:tab/>
      </w:r>
      <w:r>
        <w:fldChar w:fldCharType="begin"/>
      </w:r>
      <w:r>
        <w:instrText xml:space="preserve"> PAGEREF _Toc1395 \h </w:instrText>
      </w:r>
      <w:r>
        <w:fldChar w:fldCharType="separate"/>
      </w:r>
      <w:r>
        <w:t>4</w:t>
      </w:r>
      <w:r>
        <w:fldChar w:fldCharType="end"/>
      </w:r>
      <w:r>
        <w:rPr>
          <w:rFonts w:ascii="宋体" w:hAnsi="Times New Roman"/>
        </w:rPr>
        <w:fldChar w:fldCharType="end"/>
      </w:r>
    </w:p>
    <w:p w14:paraId="1C48FEC9">
      <w:pPr>
        <w:pStyle w:val="18"/>
        <w:tabs>
          <w:tab w:val="right" w:leader="dot" w:pos="9070"/>
        </w:tabs>
      </w:pPr>
      <w:r>
        <w:rPr>
          <w:rFonts w:ascii="宋体" w:hAnsi="Times New Roman"/>
        </w:rPr>
        <w:fldChar w:fldCharType="begin"/>
      </w:r>
      <w:r>
        <w:rPr>
          <w:rFonts w:ascii="宋体" w:hAnsi="Times New Roman"/>
        </w:rPr>
        <w:instrText xml:space="preserve"> HYPERLINK \l _Toc8482 </w:instrText>
      </w:r>
      <w:r>
        <w:rPr>
          <w:rFonts w:ascii="宋体" w:hAnsi="Times New Roman"/>
        </w:rPr>
        <w:fldChar w:fldCharType="separate"/>
      </w:r>
      <w:r>
        <w:rPr>
          <w:rFonts w:hint="eastAsia" w:ascii="黑体" w:hAnsi="Times New Roman" w:eastAsia="黑体"/>
          <w:bCs w:val="0"/>
          <w:i w:val="0"/>
          <w:iCs w:val="0"/>
          <w:szCs w:val="21"/>
        </w:rPr>
        <w:t xml:space="preserve">6.4 </w:t>
      </w:r>
      <w:r>
        <w:rPr>
          <w:rFonts w:hint="eastAsia"/>
        </w:rPr>
        <w:t>本田管理</w:t>
      </w:r>
      <w:r>
        <w:tab/>
      </w:r>
      <w:r>
        <w:fldChar w:fldCharType="begin"/>
      </w:r>
      <w:r>
        <w:instrText xml:space="preserve"> PAGEREF _Toc8482 \h </w:instrText>
      </w:r>
      <w:r>
        <w:fldChar w:fldCharType="separate"/>
      </w:r>
      <w:r>
        <w:t>4</w:t>
      </w:r>
      <w:r>
        <w:fldChar w:fldCharType="end"/>
      </w:r>
      <w:r>
        <w:rPr>
          <w:rFonts w:ascii="宋体" w:hAnsi="Times New Roman"/>
        </w:rPr>
        <w:fldChar w:fldCharType="end"/>
      </w:r>
    </w:p>
    <w:p w14:paraId="3596DD47">
      <w:pPr>
        <w:pStyle w:val="18"/>
        <w:tabs>
          <w:tab w:val="right" w:leader="dot" w:pos="9070"/>
        </w:tabs>
      </w:pPr>
      <w:r>
        <w:rPr>
          <w:rFonts w:ascii="宋体" w:hAnsi="Times New Roman"/>
        </w:rPr>
        <w:fldChar w:fldCharType="begin"/>
      </w:r>
      <w:r>
        <w:rPr>
          <w:rFonts w:ascii="宋体" w:hAnsi="Times New Roman"/>
        </w:rPr>
        <w:instrText xml:space="preserve"> HYPERLINK \l _Toc23215 </w:instrText>
      </w:r>
      <w:r>
        <w:rPr>
          <w:rFonts w:ascii="宋体" w:hAnsi="Times New Roman"/>
        </w:rPr>
        <w:fldChar w:fldCharType="separate"/>
      </w:r>
      <w:r>
        <w:rPr>
          <w:rFonts w:hint="eastAsia" w:ascii="黑体" w:hAnsi="Times New Roman" w:eastAsia="黑体"/>
          <w:bCs w:val="0"/>
          <w:i w:val="0"/>
          <w:iCs w:val="0"/>
          <w:szCs w:val="21"/>
        </w:rPr>
        <w:t xml:space="preserve">6.5 </w:t>
      </w:r>
      <w:r>
        <w:rPr>
          <w:rFonts w:hint="eastAsia"/>
        </w:rPr>
        <w:t>病虫草害防治</w:t>
      </w:r>
      <w:r>
        <w:tab/>
      </w:r>
      <w:r>
        <w:fldChar w:fldCharType="begin"/>
      </w:r>
      <w:r>
        <w:instrText xml:space="preserve"> PAGEREF _Toc23215 \h </w:instrText>
      </w:r>
      <w:r>
        <w:fldChar w:fldCharType="separate"/>
      </w:r>
      <w:r>
        <w:t>5</w:t>
      </w:r>
      <w:r>
        <w:fldChar w:fldCharType="end"/>
      </w:r>
      <w:r>
        <w:rPr>
          <w:rFonts w:ascii="宋体" w:hAnsi="Times New Roman"/>
        </w:rPr>
        <w:fldChar w:fldCharType="end"/>
      </w:r>
    </w:p>
    <w:p w14:paraId="779F0621">
      <w:pPr>
        <w:pStyle w:val="18"/>
        <w:tabs>
          <w:tab w:val="right" w:leader="dot" w:pos="9070"/>
        </w:tabs>
      </w:pPr>
      <w:r>
        <w:rPr>
          <w:rFonts w:ascii="宋体" w:hAnsi="Times New Roman"/>
        </w:rPr>
        <w:fldChar w:fldCharType="begin"/>
      </w:r>
      <w:r>
        <w:rPr>
          <w:rFonts w:ascii="宋体" w:hAnsi="Times New Roman"/>
        </w:rPr>
        <w:instrText xml:space="preserve"> HYPERLINK \l _Toc9325 </w:instrText>
      </w:r>
      <w:r>
        <w:rPr>
          <w:rFonts w:ascii="宋体" w:hAnsi="Times New Roman"/>
        </w:rPr>
        <w:fldChar w:fldCharType="separate"/>
      </w:r>
      <w:r>
        <w:rPr>
          <w:rFonts w:hint="eastAsia" w:ascii="黑体" w:hAnsi="Times New Roman" w:eastAsia="黑体"/>
          <w:bCs w:val="0"/>
          <w:i w:val="0"/>
          <w:iCs w:val="0"/>
          <w:szCs w:val="21"/>
        </w:rPr>
        <w:t xml:space="preserve">6.6 </w:t>
      </w:r>
      <w:r>
        <w:rPr>
          <w:rFonts w:hint="eastAsia"/>
        </w:rPr>
        <w:t>收获</w:t>
      </w:r>
      <w:r>
        <w:tab/>
      </w:r>
      <w:r>
        <w:fldChar w:fldCharType="begin"/>
      </w:r>
      <w:r>
        <w:instrText xml:space="preserve"> PAGEREF _Toc9325 \h </w:instrText>
      </w:r>
      <w:r>
        <w:fldChar w:fldCharType="separate"/>
      </w:r>
      <w:r>
        <w:t>5</w:t>
      </w:r>
      <w:r>
        <w:fldChar w:fldCharType="end"/>
      </w:r>
      <w:r>
        <w:rPr>
          <w:rFonts w:ascii="宋体" w:hAnsi="Times New Roman"/>
        </w:rPr>
        <w:fldChar w:fldCharType="end"/>
      </w:r>
    </w:p>
    <w:p w14:paraId="3B93AB3B">
      <w:pPr>
        <w:pStyle w:val="15"/>
        <w:tabs>
          <w:tab w:val="right" w:leader="dot" w:pos="9070"/>
          <w:tab w:val="clear" w:pos="567"/>
          <w:tab w:val="clear" w:pos="840"/>
          <w:tab w:val="clear" w:pos="9060"/>
        </w:tabs>
      </w:pPr>
      <w:r>
        <w:rPr>
          <w:rFonts w:ascii="宋体" w:hAnsi="Times New Roman"/>
        </w:rPr>
        <w:fldChar w:fldCharType="begin"/>
      </w:r>
      <w:r>
        <w:rPr>
          <w:rFonts w:ascii="宋体" w:hAnsi="Times New Roman"/>
        </w:rPr>
        <w:instrText xml:space="preserve"> HYPERLINK \l _Toc20342 </w:instrText>
      </w:r>
      <w:r>
        <w:rPr>
          <w:rFonts w:ascii="宋体" w:hAnsi="Times New Roman"/>
        </w:rPr>
        <w:fldChar w:fldCharType="separate"/>
      </w:r>
      <w:r>
        <w:rPr>
          <w:rFonts w:hint="eastAsia" w:ascii="黑体" w:hAnsi="Times New Roman" w:eastAsia="黑体"/>
          <w:bCs w:val="0"/>
          <w:i w:val="0"/>
          <w:iCs w:val="0"/>
          <w:szCs w:val="21"/>
        </w:rPr>
        <w:t xml:space="preserve">7 </w:t>
      </w:r>
      <w:r>
        <w:rPr>
          <w:rFonts w:hint="eastAsia"/>
        </w:rPr>
        <w:t>加工生产</w:t>
      </w:r>
      <w:r>
        <w:tab/>
      </w:r>
      <w:r>
        <w:fldChar w:fldCharType="begin"/>
      </w:r>
      <w:r>
        <w:instrText xml:space="preserve"> PAGEREF _Toc20342 \h </w:instrText>
      </w:r>
      <w:r>
        <w:fldChar w:fldCharType="separate"/>
      </w:r>
      <w:r>
        <w:t>6</w:t>
      </w:r>
      <w:r>
        <w:fldChar w:fldCharType="end"/>
      </w:r>
      <w:r>
        <w:rPr>
          <w:rFonts w:ascii="宋体" w:hAnsi="Times New Roman"/>
        </w:rPr>
        <w:fldChar w:fldCharType="end"/>
      </w:r>
    </w:p>
    <w:p w14:paraId="72C6D629">
      <w:pPr>
        <w:pStyle w:val="18"/>
        <w:tabs>
          <w:tab w:val="right" w:leader="dot" w:pos="9070"/>
        </w:tabs>
      </w:pPr>
      <w:r>
        <w:rPr>
          <w:rFonts w:ascii="宋体" w:hAnsi="Times New Roman"/>
        </w:rPr>
        <w:fldChar w:fldCharType="begin"/>
      </w:r>
      <w:r>
        <w:rPr>
          <w:rFonts w:ascii="宋体" w:hAnsi="Times New Roman"/>
        </w:rPr>
        <w:instrText xml:space="preserve"> HYPERLINK \l _Toc13118 </w:instrText>
      </w:r>
      <w:r>
        <w:rPr>
          <w:rFonts w:ascii="宋体" w:hAnsi="Times New Roman"/>
        </w:rPr>
        <w:fldChar w:fldCharType="separate"/>
      </w:r>
      <w:r>
        <w:rPr>
          <w:rFonts w:hint="eastAsia" w:ascii="黑体" w:hAnsi="Times New Roman" w:eastAsia="黑体"/>
          <w:bCs w:val="0"/>
          <w:i w:val="0"/>
          <w:iCs w:val="0"/>
          <w:szCs w:val="21"/>
        </w:rPr>
        <w:t xml:space="preserve">7.1 </w:t>
      </w:r>
      <w:r>
        <w:rPr>
          <w:rFonts w:hint="eastAsia"/>
        </w:rPr>
        <w:t>加工</w:t>
      </w:r>
      <w:r>
        <w:tab/>
      </w:r>
      <w:r>
        <w:fldChar w:fldCharType="begin"/>
      </w:r>
      <w:r>
        <w:instrText xml:space="preserve"> PAGEREF _Toc13118 \h </w:instrText>
      </w:r>
      <w:r>
        <w:fldChar w:fldCharType="separate"/>
      </w:r>
      <w:r>
        <w:t>6</w:t>
      </w:r>
      <w:r>
        <w:fldChar w:fldCharType="end"/>
      </w:r>
      <w:r>
        <w:rPr>
          <w:rFonts w:ascii="宋体" w:hAnsi="Times New Roman"/>
        </w:rPr>
        <w:fldChar w:fldCharType="end"/>
      </w:r>
    </w:p>
    <w:p w14:paraId="475D2E88">
      <w:pPr>
        <w:pStyle w:val="18"/>
        <w:tabs>
          <w:tab w:val="right" w:leader="dot" w:pos="9070"/>
        </w:tabs>
      </w:pPr>
      <w:r>
        <w:rPr>
          <w:rFonts w:ascii="宋体" w:hAnsi="Times New Roman"/>
        </w:rPr>
        <w:fldChar w:fldCharType="begin"/>
      </w:r>
      <w:r>
        <w:rPr>
          <w:rFonts w:ascii="宋体" w:hAnsi="Times New Roman"/>
        </w:rPr>
        <w:instrText xml:space="preserve"> HYPERLINK \l _Toc8231 </w:instrText>
      </w:r>
      <w:r>
        <w:rPr>
          <w:rFonts w:ascii="宋体" w:hAnsi="Times New Roman"/>
        </w:rPr>
        <w:fldChar w:fldCharType="separate"/>
      </w:r>
      <w:r>
        <w:rPr>
          <w:rFonts w:hint="eastAsia" w:ascii="黑体" w:hAnsi="Times New Roman" w:eastAsia="黑体"/>
          <w:bCs w:val="0"/>
          <w:i w:val="0"/>
          <w:iCs w:val="0"/>
          <w:szCs w:val="21"/>
        </w:rPr>
        <w:t xml:space="preserve">7.2 </w:t>
      </w:r>
      <w:r>
        <w:rPr>
          <w:rFonts w:hint="eastAsia"/>
        </w:rPr>
        <w:t>加工质量指标</w:t>
      </w:r>
      <w:r>
        <w:tab/>
      </w:r>
      <w:r>
        <w:fldChar w:fldCharType="begin"/>
      </w:r>
      <w:r>
        <w:instrText xml:space="preserve"> PAGEREF _Toc8231 \h </w:instrText>
      </w:r>
      <w:r>
        <w:fldChar w:fldCharType="separate"/>
      </w:r>
      <w:r>
        <w:t>6</w:t>
      </w:r>
      <w:r>
        <w:fldChar w:fldCharType="end"/>
      </w:r>
      <w:r>
        <w:rPr>
          <w:rFonts w:ascii="宋体" w:hAnsi="Times New Roman"/>
        </w:rPr>
        <w:fldChar w:fldCharType="end"/>
      </w:r>
    </w:p>
    <w:p w14:paraId="0FC39947">
      <w:pPr>
        <w:pStyle w:val="18"/>
        <w:tabs>
          <w:tab w:val="right" w:leader="dot" w:pos="9070"/>
        </w:tabs>
      </w:pPr>
      <w:r>
        <w:rPr>
          <w:rFonts w:ascii="宋体" w:hAnsi="Times New Roman"/>
        </w:rPr>
        <w:fldChar w:fldCharType="begin"/>
      </w:r>
      <w:r>
        <w:rPr>
          <w:rFonts w:ascii="宋体" w:hAnsi="Times New Roman"/>
        </w:rPr>
        <w:instrText xml:space="preserve"> HYPERLINK \l _Toc31706 </w:instrText>
      </w:r>
      <w:r>
        <w:rPr>
          <w:rFonts w:ascii="宋体" w:hAnsi="Times New Roman"/>
        </w:rPr>
        <w:fldChar w:fldCharType="separate"/>
      </w:r>
      <w:r>
        <w:rPr>
          <w:rFonts w:hint="eastAsia" w:ascii="黑体" w:hAnsi="Times New Roman" w:eastAsia="黑体"/>
          <w:bCs w:val="0"/>
          <w:i w:val="0"/>
          <w:iCs w:val="0"/>
          <w:szCs w:val="21"/>
        </w:rPr>
        <w:t xml:space="preserve">7.3 </w:t>
      </w:r>
      <w:r>
        <w:rPr>
          <w:rFonts w:hint="eastAsia"/>
        </w:rPr>
        <w:t>感官指标</w:t>
      </w:r>
      <w:r>
        <w:tab/>
      </w:r>
      <w:r>
        <w:fldChar w:fldCharType="begin"/>
      </w:r>
      <w:r>
        <w:instrText xml:space="preserve"> PAGEREF _Toc31706 \h </w:instrText>
      </w:r>
      <w:r>
        <w:fldChar w:fldCharType="separate"/>
      </w:r>
      <w:r>
        <w:t>6</w:t>
      </w:r>
      <w:r>
        <w:fldChar w:fldCharType="end"/>
      </w:r>
      <w:r>
        <w:rPr>
          <w:rFonts w:ascii="宋体" w:hAnsi="Times New Roman"/>
        </w:rPr>
        <w:fldChar w:fldCharType="end"/>
      </w:r>
    </w:p>
    <w:p w14:paraId="5C655BBA">
      <w:pPr>
        <w:pStyle w:val="18"/>
        <w:tabs>
          <w:tab w:val="right" w:leader="dot" w:pos="9070"/>
        </w:tabs>
      </w:pPr>
      <w:r>
        <w:rPr>
          <w:rFonts w:ascii="宋体" w:hAnsi="Times New Roman"/>
        </w:rPr>
        <w:fldChar w:fldCharType="begin"/>
      </w:r>
      <w:r>
        <w:rPr>
          <w:rFonts w:ascii="宋体" w:hAnsi="Times New Roman"/>
        </w:rPr>
        <w:instrText xml:space="preserve"> HYPERLINK \l _Toc32747 </w:instrText>
      </w:r>
      <w:r>
        <w:rPr>
          <w:rFonts w:ascii="宋体" w:hAnsi="Times New Roman"/>
        </w:rPr>
        <w:fldChar w:fldCharType="separate"/>
      </w:r>
      <w:r>
        <w:rPr>
          <w:rFonts w:hint="eastAsia" w:ascii="黑体" w:hAnsi="Times New Roman" w:eastAsia="黑体"/>
          <w:bCs w:val="0"/>
          <w:i w:val="0"/>
          <w:iCs w:val="0"/>
          <w:szCs w:val="21"/>
        </w:rPr>
        <w:t xml:space="preserve">7.4 </w:t>
      </w:r>
      <w:r>
        <w:rPr>
          <w:rFonts w:hint="eastAsia"/>
        </w:rPr>
        <w:t>理化指标</w:t>
      </w:r>
      <w:r>
        <w:tab/>
      </w:r>
      <w:r>
        <w:fldChar w:fldCharType="begin"/>
      </w:r>
      <w:r>
        <w:instrText xml:space="preserve"> PAGEREF _Toc32747 \h </w:instrText>
      </w:r>
      <w:r>
        <w:fldChar w:fldCharType="separate"/>
      </w:r>
      <w:r>
        <w:t>6</w:t>
      </w:r>
      <w:r>
        <w:fldChar w:fldCharType="end"/>
      </w:r>
      <w:r>
        <w:rPr>
          <w:rFonts w:ascii="宋体" w:hAnsi="Times New Roman"/>
        </w:rPr>
        <w:fldChar w:fldCharType="end"/>
      </w:r>
    </w:p>
    <w:p w14:paraId="31FBB0B3">
      <w:pPr>
        <w:pStyle w:val="18"/>
        <w:tabs>
          <w:tab w:val="right" w:leader="dot" w:pos="9070"/>
        </w:tabs>
      </w:pPr>
      <w:r>
        <w:rPr>
          <w:rFonts w:ascii="宋体" w:hAnsi="Times New Roman"/>
        </w:rPr>
        <w:fldChar w:fldCharType="begin"/>
      </w:r>
      <w:r>
        <w:rPr>
          <w:rFonts w:ascii="宋体" w:hAnsi="Times New Roman"/>
        </w:rPr>
        <w:instrText xml:space="preserve"> HYPERLINK \l _Toc29421 </w:instrText>
      </w:r>
      <w:r>
        <w:rPr>
          <w:rFonts w:ascii="宋体" w:hAnsi="Times New Roman"/>
        </w:rPr>
        <w:fldChar w:fldCharType="separate"/>
      </w:r>
      <w:r>
        <w:rPr>
          <w:rFonts w:hint="eastAsia" w:ascii="黑体" w:hAnsi="Times New Roman" w:eastAsia="黑体"/>
          <w:bCs w:val="0"/>
          <w:i w:val="0"/>
          <w:iCs w:val="0"/>
          <w:szCs w:val="21"/>
        </w:rPr>
        <w:t xml:space="preserve">7.5 </w:t>
      </w:r>
      <w:r>
        <w:rPr>
          <w:rFonts w:hint="eastAsia"/>
        </w:rPr>
        <w:t>卫生标准</w:t>
      </w:r>
      <w:r>
        <w:tab/>
      </w:r>
      <w:r>
        <w:fldChar w:fldCharType="begin"/>
      </w:r>
      <w:r>
        <w:instrText xml:space="preserve"> PAGEREF _Toc29421 \h </w:instrText>
      </w:r>
      <w:r>
        <w:fldChar w:fldCharType="separate"/>
      </w:r>
      <w:r>
        <w:t>7</w:t>
      </w:r>
      <w:r>
        <w:fldChar w:fldCharType="end"/>
      </w:r>
      <w:r>
        <w:rPr>
          <w:rFonts w:ascii="宋体" w:hAnsi="Times New Roman"/>
        </w:rPr>
        <w:fldChar w:fldCharType="end"/>
      </w:r>
    </w:p>
    <w:p w14:paraId="119E6108">
      <w:pPr>
        <w:pStyle w:val="18"/>
        <w:tabs>
          <w:tab w:val="right" w:leader="dot" w:pos="9070"/>
        </w:tabs>
      </w:pPr>
      <w:r>
        <w:rPr>
          <w:rFonts w:ascii="宋体" w:hAnsi="Times New Roman"/>
        </w:rPr>
        <w:fldChar w:fldCharType="begin"/>
      </w:r>
      <w:r>
        <w:rPr>
          <w:rFonts w:ascii="宋体" w:hAnsi="Times New Roman"/>
        </w:rPr>
        <w:instrText xml:space="preserve"> HYPERLINK \l _Toc3642 </w:instrText>
      </w:r>
      <w:r>
        <w:rPr>
          <w:rFonts w:ascii="宋体" w:hAnsi="Times New Roman"/>
        </w:rPr>
        <w:fldChar w:fldCharType="separate"/>
      </w:r>
      <w:r>
        <w:rPr>
          <w:rFonts w:hint="eastAsia" w:ascii="黑体" w:hAnsi="Times New Roman" w:eastAsia="黑体"/>
          <w:bCs w:val="0"/>
          <w:i w:val="0"/>
          <w:iCs w:val="0"/>
          <w:szCs w:val="21"/>
        </w:rPr>
        <w:t xml:space="preserve">7.6 </w:t>
      </w:r>
      <w:r>
        <w:rPr>
          <w:rFonts w:hint="eastAsia"/>
        </w:rPr>
        <w:t>加工企业质量管理</w:t>
      </w:r>
      <w:r>
        <w:tab/>
      </w:r>
      <w:r>
        <w:fldChar w:fldCharType="begin"/>
      </w:r>
      <w:r>
        <w:instrText xml:space="preserve"> PAGEREF _Toc3642 \h </w:instrText>
      </w:r>
      <w:r>
        <w:fldChar w:fldCharType="separate"/>
      </w:r>
      <w:r>
        <w:t>7</w:t>
      </w:r>
      <w:r>
        <w:fldChar w:fldCharType="end"/>
      </w:r>
      <w:r>
        <w:rPr>
          <w:rFonts w:ascii="宋体" w:hAnsi="Times New Roman"/>
        </w:rPr>
        <w:fldChar w:fldCharType="end"/>
      </w:r>
    </w:p>
    <w:p w14:paraId="059E18A5">
      <w:pPr>
        <w:pStyle w:val="18"/>
        <w:tabs>
          <w:tab w:val="right" w:leader="dot" w:pos="9070"/>
        </w:tabs>
      </w:pPr>
      <w:r>
        <w:rPr>
          <w:rFonts w:ascii="宋体" w:hAnsi="Times New Roman"/>
        </w:rPr>
        <w:fldChar w:fldCharType="begin"/>
      </w:r>
      <w:r>
        <w:rPr>
          <w:rFonts w:ascii="宋体" w:hAnsi="Times New Roman"/>
        </w:rPr>
        <w:instrText xml:space="preserve"> HYPERLINK \l _Toc18821 </w:instrText>
      </w:r>
      <w:r>
        <w:rPr>
          <w:rFonts w:ascii="宋体" w:hAnsi="Times New Roman"/>
        </w:rPr>
        <w:fldChar w:fldCharType="separate"/>
      </w:r>
      <w:r>
        <w:rPr>
          <w:rFonts w:hint="eastAsia" w:ascii="黑体" w:hAnsi="Times New Roman" w:eastAsia="黑体"/>
          <w:bCs w:val="0"/>
          <w:i w:val="0"/>
          <w:iCs w:val="0"/>
          <w:szCs w:val="21"/>
        </w:rPr>
        <w:t xml:space="preserve">7.7 </w:t>
      </w:r>
      <w:r>
        <w:rPr>
          <w:rFonts w:hint="eastAsia"/>
        </w:rPr>
        <w:t>检验方法</w:t>
      </w:r>
      <w:r>
        <w:tab/>
      </w:r>
      <w:r>
        <w:fldChar w:fldCharType="begin"/>
      </w:r>
      <w:r>
        <w:instrText xml:space="preserve"> PAGEREF _Toc18821 \h </w:instrText>
      </w:r>
      <w:r>
        <w:fldChar w:fldCharType="separate"/>
      </w:r>
      <w:r>
        <w:t>8</w:t>
      </w:r>
      <w:r>
        <w:fldChar w:fldCharType="end"/>
      </w:r>
      <w:r>
        <w:rPr>
          <w:rFonts w:ascii="宋体" w:hAnsi="Times New Roman"/>
        </w:rPr>
        <w:fldChar w:fldCharType="end"/>
      </w:r>
    </w:p>
    <w:p w14:paraId="261485AB">
      <w:pPr>
        <w:pStyle w:val="18"/>
        <w:tabs>
          <w:tab w:val="right" w:leader="dot" w:pos="9070"/>
        </w:tabs>
      </w:pPr>
      <w:r>
        <w:rPr>
          <w:rFonts w:ascii="宋体" w:hAnsi="Times New Roman"/>
        </w:rPr>
        <w:fldChar w:fldCharType="begin"/>
      </w:r>
      <w:r>
        <w:rPr>
          <w:rFonts w:ascii="宋体" w:hAnsi="Times New Roman"/>
        </w:rPr>
        <w:instrText xml:space="preserve"> HYPERLINK \l _Toc29056 </w:instrText>
      </w:r>
      <w:r>
        <w:rPr>
          <w:rFonts w:ascii="宋体" w:hAnsi="Times New Roman"/>
        </w:rPr>
        <w:fldChar w:fldCharType="separate"/>
      </w:r>
      <w:r>
        <w:rPr>
          <w:rFonts w:hint="eastAsia" w:ascii="黑体" w:hAnsi="Times New Roman" w:eastAsia="黑体"/>
          <w:bCs w:val="0"/>
          <w:i w:val="0"/>
          <w:iCs w:val="0"/>
          <w:szCs w:val="21"/>
        </w:rPr>
        <w:t xml:space="preserve">7.8 </w:t>
      </w:r>
      <w:r>
        <w:rPr>
          <w:rFonts w:hint="eastAsia"/>
        </w:rPr>
        <w:t>包装及标识</w:t>
      </w:r>
      <w:r>
        <w:tab/>
      </w:r>
      <w:r>
        <w:fldChar w:fldCharType="begin"/>
      </w:r>
      <w:r>
        <w:instrText xml:space="preserve"> PAGEREF _Toc29056 \h </w:instrText>
      </w:r>
      <w:r>
        <w:fldChar w:fldCharType="separate"/>
      </w:r>
      <w:r>
        <w:t>8</w:t>
      </w:r>
      <w:r>
        <w:fldChar w:fldCharType="end"/>
      </w:r>
      <w:r>
        <w:rPr>
          <w:rFonts w:ascii="宋体" w:hAnsi="Times New Roman"/>
        </w:rPr>
        <w:fldChar w:fldCharType="end"/>
      </w:r>
    </w:p>
    <w:p w14:paraId="1AA2A135">
      <w:pPr>
        <w:pStyle w:val="18"/>
        <w:tabs>
          <w:tab w:val="right" w:leader="dot" w:pos="9070"/>
        </w:tabs>
      </w:pPr>
      <w:r>
        <w:rPr>
          <w:rFonts w:ascii="宋体" w:hAnsi="Times New Roman"/>
        </w:rPr>
        <w:fldChar w:fldCharType="begin"/>
      </w:r>
      <w:r>
        <w:rPr>
          <w:rFonts w:ascii="宋体" w:hAnsi="Times New Roman"/>
        </w:rPr>
        <w:instrText xml:space="preserve"> HYPERLINK \l _Toc10156 </w:instrText>
      </w:r>
      <w:r>
        <w:rPr>
          <w:rFonts w:ascii="宋体" w:hAnsi="Times New Roman"/>
        </w:rPr>
        <w:fldChar w:fldCharType="separate"/>
      </w:r>
      <w:r>
        <w:rPr>
          <w:rFonts w:hint="eastAsia" w:ascii="黑体" w:hAnsi="Times New Roman" w:eastAsia="黑体"/>
          <w:bCs w:val="0"/>
          <w:i w:val="0"/>
          <w:iCs w:val="0"/>
          <w:szCs w:val="21"/>
        </w:rPr>
        <w:t xml:space="preserve">7.9 </w:t>
      </w:r>
      <w:r>
        <w:rPr>
          <w:rFonts w:hint="eastAsia"/>
        </w:rPr>
        <w:t>运输和贮存</w:t>
      </w:r>
      <w:r>
        <w:tab/>
      </w:r>
      <w:r>
        <w:fldChar w:fldCharType="begin"/>
      </w:r>
      <w:r>
        <w:instrText xml:space="preserve"> PAGEREF _Toc10156 \h </w:instrText>
      </w:r>
      <w:r>
        <w:fldChar w:fldCharType="separate"/>
      </w:r>
      <w:r>
        <w:t>9</w:t>
      </w:r>
      <w:r>
        <w:fldChar w:fldCharType="end"/>
      </w:r>
      <w:r>
        <w:rPr>
          <w:rFonts w:ascii="宋体" w:hAnsi="Times New Roman"/>
        </w:rPr>
        <w:fldChar w:fldCharType="end"/>
      </w:r>
    </w:p>
    <w:p w14:paraId="71D43764">
      <w:pPr>
        <w:pStyle w:val="15"/>
        <w:tabs>
          <w:tab w:val="right" w:leader="dot" w:pos="9070"/>
          <w:tab w:val="clear" w:pos="567"/>
          <w:tab w:val="clear" w:pos="840"/>
          <w:tab w:val="clear" w:pos="9060"/>
        </w:tabs>
      </w:pPr>
      <w:r>
        <w:rPr>
          <w:rFonts w:ascii="宋体" w:hAnsi="Times New Roman"/>
        </w:rPr>
        <w:fldChar w:fldCharType="begin"/>
      </w:r>
      <w:r>
        <w:rPr>
          <w:rFonts w:ascii="宋体" w:hAnsi="Times New Roman"/>
        </w:rPr>
        <w:instrText xml:space="preserve"> HYPERLINK \l _Toc1982 </w:instrText>
      </w:r>
      <w:r>
        <w:rPr>
          <w:rFonts w:ascii="宋体" w:hAnsi="Times New Roman"/>
        </w:rPr>
        <w:fldChar w:fldCharType="separate"/>
      </w:r>
      <w:r>
        <w:rPr>
          <w:rFonts w:hint="eastAsia" w:ascii="黑体" w:hAnsi="Times New Roman" w:eastAsia="黑体"/>
          <w:bCs w:val="0"/>
          <w:i w:val="0"/>
          <w:iCs w:val="0"/>
          <w:szCs w:val="21"/>
        </w:rPr>
        <w:t xml:space="preserve">8 </w:t>
      </w:r>
      <w:r>
        <w:rPr>
          <w:rFonts w:hint="eastAsia"/>
        </w:rPr>
        <w:t>销售</w:t>
      </w:r>
      <w:r>
        <w:tab/>
      </w:r>
      <w:r>
        <w:fldChar w:fldCharType="begin"/>
      </w:r>
      <w:r>
        <w:instrText xml:space="preserve"> PAGEREF _Toc1982 \h </w:instrText>
      </w:r>
      <w:r>
        <w:fldChar w:fldCharType="separate"/>
      </w:r>
      <w:r>
        <w:t>9</w:t>
      </w:r>
      <w:r>
        <w:fldChar w:fldCharType="end"/>
      </w:r>
      <w:r>
        <w:rPr>
          <w:rFonts w:ascii="宋体" w:hAnsi="Times New Roman"/>
        </w:rPr>
        <w:fldChar w:fldCharType="end"/>
      </w:r>
    </w:p>
    <w:p w14:paraId="00F73D3D">
      <w:pPr>
        <w:pStyle w:val="18"/>
        <w:tabs>
          <w:tab w:val="right" w:leader="dot" w:pos="9070"/>
        </w:tabs>
      </w:pPr>
      <w:r>
        <w:rPr>
          <w:rFonts w:ascii="宋体" w:hAnsi="Times New Roman"/>
        </w:rPr>
        <w:fldChar w:fldCharType="begin"/>
      </w:r>
      <w:r>
        <w:rPr>
          <w:rFonts w:ascii="宋体" w:hAnsi="Times New Roman"/>
        </w:rPr>
        <w:instrText xml:space="preserve"> HYPERLINK \l _Toc30971 </w:instrText>
      </w:r>
      <w:r>
        <w:rPr>
          <w:rFonts w:ascii="宋体" w:hAnsi="Times New Roman"/>
        </w:rPr>
        <w:fldChar w:fldCharType="separate"/>
      </w:r>
      <w:r>
        <w:rPr>
          <w:rFonts w:hint="eastAsia" w:ascii="黑体" w:hAnsi="Times New Roman" w:eastAsia="黑体"/>
          <w:bCs w:val="0"/>
          <w:i w:val="0"/>
          <w:iCs w:val="0"/>
          <w:szCs w:val="21"/>
        </w:rPr>
        <w:t xml:space="preserve">8.1 </w:t>
      </w:r>
      <w:r>
        <w:t>授权资质管理‌</w:t>
      </w:r>
      <w:r>
        <w:tab/>
      </w:r>
      <w:r>
        <w:fldChar w:fldCharType="begin"/>
      </w:r>
      <w:r>
        <w:instrText xml:space="preserve"> PAGEREF _Toc30971 \h </w:instrText>
      </w:r>
      <w:r>
        <w:fldChar w:fldCharType="separate"/>
      </w:r>
      <w:r>
        <w:t>9</w:t>
      </w:r>
      <w:r>
        <w:fldChar w:fldCharType="end"/>
      </w:r>
      <w:r>
        <w:rPr>
          <w:rFonts w:ascii="宋体" w:hAnsi="Times New Roman"/>
        </w:rPr>
        <w:fldChar w:fldCharType="end"/>
      </w:r>
    </w:p>
    <w:p w14:paraId="53F5AFF6">
      <w:pPr>
        <w:pStyle w:val="18"/>
        <w:tabs>
          <w:tab w:val="right" w:leader="dot" w:pos="9070"/>
        </w:tabs>
      </w:pPr>
      <w:r>
        <w:rPr>
          <w:rFonts w:ascii="宋体" w:hAnsi="Times New Roman"/>
        </w:rPr>
        <w:fldChar w:fldCharType="begin"/>
      </w:r>
      <w:r>
        <w:rPr>
          <w:rFonts w:ascii="宋体" w:hAnsi="Times New Roman"/>
        </w:rPr>
        <w:instrText xml:space="preserve"> HYPERLINK \l _Toc25948 </w:instrText>
      </w:r>
      <w:r>
        <w:rPr>
          <w:rFonts w:ascii="宋体" w:hAnsi="Times New Roman"/>
        </w:rPr>
        <w:fldChar w:fldCharType="separate"/>
      </w:r>
      <w:r>
        <w:rPr>
          <w:rFonts w:hint="eastAsia" w:ascii="黑体" w:hAnsi="Times New Roman" w:eastAsia="黑体"/>
          <w:bCs w:val="0"/>
          <w:i w:val="0"/>
          <w:iCs w:val="0"/>
          <w:szCs w:val="21"/>
        </w:rPr>
        <w:t xml:space="preserve">8.2 </w:t>
      </w:r>
      <w:r>
        <w:rPr>
          <w:rFonts w:hint="eastAsia"/>
        </w:rPr>
        <w:t>品牌授权</w:t>
      </w:r>
      <w:r>
        <w:tab/>
      </w:r>
      <w:r>
        <w:fldChar w:fldCharType="begin"/>
      </w:r>
      <w:r>
        <w:instrText xml:space="preserve"> PAGEREF _Toc25948 \h </w:instrText>
      </w:r>
      <w:r>
        <w:fldChar w:fldCharType="separate"/>
      </w:r>
      <w:r>
        <w:t>9</w:t>
      </w:r>
      <w:r>
        <w:fldChar w:fldCharType="end"/>
      </w:r>
      <w:r>
        <w:rPr>
          <w:rFonts w:ascii="宋体" w:hAnsi="Times New Roman"/>
        </w:rPr>
        <w:fldChar w:fldCharType="end"/>
      </w:r>
    </w:p>
    <w:p w14:paraId="47AE1688">
      <w:pPr>
        <w:pStyle w:val="18"/>
        <w:tabs>
          <w:tab w:val="right" w:leader="dot" w:pos="9070"/>
        </w:tabs>
      </w:pPr>
      <w:r>
        <w:rPr>
          <w:rFonts w:ascii="宋体" w:hAnsi="Times New Roman"/>
        </w:rPr>
        <w:fldChar w:fldCharType="begin"/>
      </w:r>
      <w:r>
        <w:rPr>
          <w:rFonts w:ascii="宋体" w:hAnsi="Times New Roman"/>
        </w:rPr>
        <w:instrText xml:space="preserve"> HYPERLINK \l _Toc17055 </w:instrText>
      </w:r>
      <w:r>
        <w:rPr>
          <w:rFonts w:ascii="宋体" w:hAnsi="Times New Roman"/>
        </w:rPr>
        <w:fldChar w:fldCharType="separate"/>
      </w:r>
      <w:r>
        <w:rPr>
          <w:rFonts w:hint="eastAsia" w:ascii="黑体" w:hAnsi="Times New Roman" w:eastAsia="黑体"/>
          <w:bCs w:val="0"/>
          <w:i w:val="0"/>
          <w:iCs w:val="0"/>
          <w:szCs w:val="21"/>
        </w:rPr>
        <w:t xml:space="preserve">8.3 </w:t>
      </w:r>
      <w:r>
        <w:rPr>
          <w:rFonts w:hint="eastAsia"/>
        </w:rPr>
        <w:t>包装备案</w:t>
      </w:r>
      <w:r>
        <w:t>‌</w:t>
      </w:r>
      <w:r>
        <w:tab/>
      </w:r>
      <w:r>
        <w:fldChar w:fldCharType="begin"/>
      </w:r>
      <w:r>
        <w:instrText xml:space="preserve"> PAGEREF _Toc17055 \h </w:instrText>
      </w:r>
      <w:r>
        <w:fldChar w:fldCharType="separate"/>
      </w:r>
      <w:r>
        <w:t>9</w:t>
      </w:r>
      <w:r>
        <w:fldChar w:fldCharType="end"/>
      </w:r>
      <w:r>
        <w:rPr>
          <w:rFonts w:ascii="宋体" w:hAnsi="Times New Roman"/>
        </w:rPr>
        <w:fldChar w:fldCharType="end"/>
      </w:r>
    </w:p>
    <w:p w14:paraId="660F4A79">
      <w:pPr>
        <w:pStyle w:val="18"/>
        <w:tabs>
          <w:tab w:val="right" w:leader="dot" w:pos="9070"/>
        </w:tabs>
      </w:pPr>
      <w:r>
        <w:rPr>
          <w:rFonts w:ascii="宋体" w:hAnsi="Times New Roman"/>
        </w:rPr>
        <w:fldChar w:fldCharType="begin"/>
      </w:r>
      <w:r>
        <w:rPr>
          <w:rFonts w:ascii="宋体" w:hAnsi="Times New Roman"/>
        </w:rPr>
        <w:instrText xml:space="preserve"> HYPERLINK \l _Toc23444 </w:instrText>
      </w:r>
      <w:r>
        <w:rPr>
          <w:rFonts w:ascii="宋体" w:hAnsi="Times New Roman"/>
        </w:rPr>
        <w:fldChar w:fldCharType="separate"/>
      </w:r>
      <w:r>
        <w:rPr>
          <w:rFonts w:hint="eastAsia" w:ascii="黑体" w:hAnsi="Times New Roman" w:eastAsia="黑体"/>
          <w:bCs w:val="0"/>
          <w:i w:val="0"/>
          <w:iCs w:val="0"/>
          <w:szCs w:val="21"/>
        </w:rPr>
        <w:t xml:space="preserve">8.4 </w:t>
      </w:r>
      <w:r>
        <w:rPr>
          <w:rFonts w:hint="eastAsia"/>
        </w:rPr>
        <w:t>产品溯源</w:t>
      </w:r>
      <w:r>
        <w:tab/>
      </w:r>
      <w:r>
        <w:fldChar w:fldCharType="begin"/>
      </w:r>
      <w:r>
        <w:instrText xml:space="preserve"> PAGEREF _Toc23444 \h </w:instrText>
      </w:r>
      <w:r>
        <w:fldChar w:fldCharType="separate"/>
      </w:r>
      <w:r>
        <w:t>9</w:t>
      </w:r>
      <w:r>
        <w:fldChar w:fldCharType="end"/>
      </w:r>
      <w:r>
        <w:rPr>
          <w:rFonts w:ascii="宋体" w:hAnsi="Times New Roman"/>
        </w:rPr>
        <w:fldChar w:fldCharType="end"/>
      </w:r>
    </w:p>
    <w:p w14:paraId="4EB86DE8">
      <w:pPr>
        <w:pStyle w:val="15"/>
        <w:tabs>
          <w:tab w:val="right" w:leader="dot" w:pos="9070"/>
          <w:tab w:val="clear" w:pos="567"/>
          <w:tab w:val="clear" w:pos="840"/>
          <w:tab w:val="clear" w:pos="9060"/>
        </w:tabs>
      </w:pPr>
      <w:r>
        <w:rPr>
          <w:rFonts w:ascii="宋体" w:hAnsi="Times New Roman"/>
        </w:rPr>
        <w:fldChar w:fldCharType="begin"/>
      </w:r>
      <w:r>
        <w:rPr>
          <w:rFonts w:ascii="宋体" w:hAnsi="Times New Roman"/>
        </w:rPr>
        <w:instrText xml:space="preserve"> HYPERLINK \l _Toc30372 </w:instrText>
      </w:r>
      <w:r>
        <w:rPr>
          <w:rFonts w:ascii="宋体" w:hAnsi="Times New Roman"/>
        </w:rPr>
        <w:fldChar w:fldCharType="separate"/>
      </w:r>
      <w:r>
        <w:rPr>
          <w:rFonts w:hint="eastAsia" w:ascii="黑体" w:hAnsi="Times New Roman" w:eastAsia="黑体"/>
          <w:bCs w:val="0"/>
          <w:i w:val="0"/>
          <w:iCs w:val="0"/>
          <w:szCs w:val="21"/>
        </w:rPr>
        <w:t xml:space="preserve">9 </w:t>
      </w:r>
      <w:r>
        <w:rPr>
          <w:rFonts w:hint="eastAsia"/>
        </w:rPr>
        <w:t>管理</w:t>
      </w:r>
      <w:r>
        <w:tab/>
      </w:r>
      <w:r>
        <w:fldChar w:fldCharType="begin"/>
      </w:r>
      <w:r>
        <w:instrText xml:space="preserve"> PAGEREF _Toc30372 \h </w:instrText>
      </w:r>
      <w:r>
        <w:fldChar w:fldCharType="separate"/>
      </w:r>
      <w:r>
        <w:t>9</w:t>
      </w:r>
      <w:r>
        <w:fldChar w:fldCharType="end"/>
      </w:r>
      <w:r>
        <w:rPr>
          <w:rFonts w:ascii="宋体" w:hAnsi="Times New Roman"/>
        </w:rPr>
        <w:fldChar w:fldCharType="end"/>
      </w:r>
    </w:p>
    <w:p w14:paraId="2B3F4D11">
      <w:pPr>
        <w:pStyle w:val="18"/>
        <w:tabs>
          <w:tab w:val="right" w:leader="dot" w:pos="9070"/>
        </w:tabs>
      </w:pPr>
      <w:r>
        <w:rPr>
          <w:rFonts w:ascii="宋体" w:hAnsi="Times New Roman"/>
        </w:rPr>
        <w:fldChar w:fldCharType="begin"/>
      </w:r>
      <w:r>
        <w:rPr>
          <w:rFonts w:ascii="宋体" w:hAnsi="Times New Roman"/>
        </w:rPr>
        <w:instrText xml:space="preserve"> HYPERLINK \l _Toc19223 </w:instrText>
      </w:r>
      <w:r>
        <w:rPr>
          <w:rFonts w:ascii="宋体" w:hAnsi="Times New Roman"/>
        </w:rPr>
        <w:fldChar w:fldCharType="separate"/>
      </w:r>
      <w:r>
        <w:rPr>
          <w:rFonts w:hint="eastAsia" w:ascii="黑体" w:hAnsi="Times New Roman" w:eastAsia="黑体"/>
          <w:bCs w:val="0"/>
          <w:i w:val="0"/>
          <w:iCs w:val="0"/>
          <w:szCs w:val="21"/>
        </w:rPr>
        <w:t xml:space="preserve">9.1 </w:t>
      </w:r>
      <w:r>
        <w:rPr>
          <w:rFonts w:hint="eastAsia"/>
        </w:rPr>
        <w:t>管理体系</w:t>
      </w:r>
      <w:r>
        <w:tab/>
      </w:r>
      <w:r>
        <w:fldChar w:fldCharType="begin"/>
      </w:r>
      <w:r>
        <w:instrText xml:space="preserve"> PAGEREF _Toc19223 \h </w:instrText>
      </w:r>
      <w:r>
        <w:fldChar w:fldCharType="separate"/>
      </w:r>
      <w:r>
        <w:t>10</w:t>
      </w:r>
      <w:r>
        <w:fldChar w:fldCharType="end"/>
      </w:r>
      <w:r>
        <w:rPr>
          <w:rFonts w:ascii="宋体" w:hAnsi="Times New Roman"/>
        </w:rPr>
        <w:fldChar w:fldCharType="end"/>
      </w:r>
    </w:p>
    <w:p w14:paraId="0DD9FCCE">
      <w:pPr>
        <w:pStyle w:val="18"/>
        <w:tabs>
          <w:tab w:val="right" w:leader="dot" w:pos="9070"/>
        </w:tabs>
      </w:pPr>
      <w:r>
        <w:rPr>
          <w:rFonts w:ascii="宋体" w:hAnsi="Times New Roman"/>
        </w:rPr>
        <w:fldChar w:fldCharType="begin"/>
      </w:r>
      <w:r>
        <w:rPr>
          <w:rFonts w:ascii="宋体" w:hAnsi="Times New Roman"/>
        </w:rPr>
        <w:instrText xml:space="preserve"> HYPERLINK \l _Toc5766 </w:instrText>
      </w:r>
      <w:r>
        <w:rPr>
          <w:rFonts w:ascii="宋体" w:hAnsi="Times New Roman"/>
        </w:rPr>
        <w:fldChar w:fldCharType="separate"/>
      </w:r>
      <w:r>
        <w:rPr>
          <w:rFonts w:hint="eastAsia" w:ascii="黑体" w:hAnsi="Times New Roman" w:eastAsia="黑体"/>
          <w:bCs w:val="0"/>
          <w:i w:val="0"/>
          <w:iCs w:val="0"/>
          <w:szCs w:val="21"/>
        </w:rPr>
        <w:t xml:space="preserve">9.2 </w:t>
      </w:r>
      <w:r>
        <w:t>技术团队</w:t>
      </w:r>
      <w:r>
        <w:tab/>
      </w:r>
      <w:r>
        <w:fldChar w:fldCharType="begin"/>
      </w:r>
      <w:r>
        <w:instrText xml:space="preserve"> PAGEREF _Toc5766 \h </w:instrText>
      </w:r>
      <w:r>
        <w:fldChar w:fldCharType="separate"/>
      </w:r>
      <w:r>
        <w:t>10</w:t>
      </w:r>
      <w:r>
        <w:fldChar w:fldCharType="end"/>
      </w:r>
      <w:r>
        <w:rPr>
          <w:rFonts w:ascii="宋体" w:hAnsi="Times New Roman"/>
        </w:rPr>
        <w:fldChar w:fldCharType="end"/>
      </w:r>
    </w:p>
    <w:p w14:paraId="1E87430E">
      <w:pPr>
        <w:pStyle w:val="18"/>
        <w:tabs>
          <w:tab w:val="right" w:leader="dot" w:pos="9070"/>
        </w:tabs>
      </w:pPr>
      <w:r>
        <w:rPr>
          <w:rFonts w:ascii="宋体" w:hAnsi="Times New Roman"/>
        </w:rPr>
        <w:fldChar w:fldCharType="begin"/>
      </w:r>
      <w:r>
        <w:rPr>
          <w:rFonts w:ascii="宋体" w:hAnsi="Times New Roman"/>
        </w:rPr>
        <w:instrText xml:space="preserve"> HYPERLINK \l _Toc27859 </w:instrText>
      </w:r>
      <w:r>
        <w:rPr>
          <w:rFonts w:ascii="宋体" w:hAnsi="Times New Roman"/>
        </w:rPr>
        <w:fldChar w:fldCharType="separate"/>
      </w:r>
      <w:r>
        <w:rPr>
          <w:rFonts w:hint="eastAsia" w:ascii="黑体" w:hAnsi="Times New Roman" w:eastAsia="黑体"/>
          <w:bCs w:val="0"/>
          <w:i w:val="0"/>
          <w:iCs w:val="0"/>
          <w:szCs w:val="21"/>
        </w:rPr>
        <w:t xml:space="preserve">9.3 </w:t>
      </w:r>
      <w:r>
        <w:rPr>
          <w:rFonts w:hint="eastAsia"/>
        </w:rPr>
        <w:t>种植备案</w:t>
      </w:r>
      <w:r>
        <w:tab/>
      </w:r>
      <w:r>
        <w:fldChar w:fldCharType="begin"/>
      </w:r>
      <w:r>
        <w:instrText xml:space="preserve"> PAGEREF _Toc27859 \h </w:instrText>
      </w:r>
      <w:r>
        <w:fldChar w:fldCharType="separate"/>
      </w:r>
      <w:r>
        <w:t>11</w:t>
      </w:r>
      <w:r>
        <w:fldChar w:fldCharType="end"/>
      </w:r>
      <w:r>
        <w:rPr>
          <w:rFonts w:ascii="宋体" w:hAnsi="Times New Roman"/>
        </w:rPr>
        <w:fldChar w:fldCharType="end"/>
      </w:r>
    </w:p>
    <w:p w14:paraId="2D14C23A">
      <w:pPr>
        <w:pStyle w:val="15"/>
        <w:tabs>
          <w:tab w:val="right" w:leader="dot" w:pos="9070"/>
          <w:tab w:val="clear" w:pos="567"/>
          <w:tab w:val="clear" w:pos="840"/>
          <w:tab w:val="clear" w:pos="9060"/>
        </w:tabs>
      </w:pPr>
      <w:r>
        <w:rPr>
          <w:rFonts w:ascii="宋体" w:hAnsi="Times New Roman"/>
        </w:rPr>
        <w:fldChar w:fldCharType="begin"/>
      </w:r>
      <w:r>
        <w:rPr>
          <w:rFonts w:ascii="宋体" w:hAnsi="Times New Roman"/>
        </w:rPr>
        <w:instrText xml:space="preserve"> HYPERLINK \l _Toc18259 </w:instrText>
      </w:r>
      <w:r>
        <w:rPr>
          <w:rFonts w:ascii="宋体" w:hAnsi="Times New Roman"/>
        </w:rPr>
        <w:fldChar w:fldCharType="separate"/>
      </w:r>
      <w:r>
        <w:rPr>
          <w:rFonts w:hint="eastAsia"/>
        </w:rPr>
        <w:t>附录 A</w:t>
      </w:r>
      <w:r>
        <w:tab/>
      </w:r>
      <w:r>
        <w:fldChar w:fldCharType="begin"/>
      </w:r>
      <w:r>
        <w:instrText xml:space="preserve"> PAGEREF _Toc18259 \h </w:instrText>
      </w:r>
      <w:r>
        <w:fldChar w:fldCharType="separate"/>
      </w:r>
      <w:r>
        <w:t>12</w:t>
      </w:r>
      <w:r>
        <w:fldChar w:fldCharType="end"/>
      </w:r>
      <w:r>
        <w:rPr>
          <w:rFonts w:ascii="宋体" w:hAnsi="Times New Roman"/>
        </w:rPr>
        <w:fldChar w:fldCharType="end"/>
      </w:r>
    </w:p>
    <w:p w14:paraId="14B83295">
      <w:pPr>
        <w:pStyle w:val="15"/>
        <w:tabs>
          <w:tab w:val="right" w:leader="dot" w:pos="9070"/>
          <w:tab w:val="clear" w:pos="567"/>
          <w:tab w:val="clear" w:pos="840"/>
          <w:tab w:val="clear" w:pos="9060"/>
        </w:tabs>
      </w:pPr>
      <w:r>
        <w:rPr>
          <w:rFonts w:ascii="宋体" w:hAnsi="Times New Roman"/>
        </w:rPr>
        <w:fldChar w:fldCharType="begin"/>
      </w:r>
      <w:r>
        <w:rPr>
          <w:rFonts w:ascii="宋体" w:hAnsi="Times New Roman"/>
        </w:rPr>
        <w:instrText xml:space="preserve"> HYPERLINK \l _Toc18954 </w:instrText>
      </w:r>
      <w:r>
        <w:rPr>
          <w:rFonts w:ascii="宋体" w:hAnsi="Times New Roman"/>
        </w:rPr>
        <w:fldChar w:fldCharType="separate"/>
      </w:r>
      <w:r>
        <w:rPr>
          <w:rFonts w:hint="eastAsia"/>
        </w:rPr>
        <w:t>（规范性附录）</w:t>
      </w:r>
      <w:r>
        <w:tab/>
      </w:r>
      <w:r>
        <w:fldChar w:fldCharType="begin"/>
      </w:r>
      <w:r>
        <w:instrText xml:space="preserve"> PAGEREF _Toc18954 \h </w:instrText>
      </w:r>
      <w:r>
        <w:fldChar w:fldCharType="separate"/>
      </w:r>
      <w:r>
        <w:t>12</w:t>
      </w:r>
      <w:r>
        <w:fldChar w:fldCharType="end"/>
      </w:r>
      <w:r>
        <w:rPr>
          <w:rFonts w:ascii="宋体" w:hAnsi="Times New Roman"/>
        </w:rPr>
        <w:fldChar w:fldCharType="end"/>
      </w:r>
    </w:p>
    <w:p w14:paraId="62663E53">
      <w:pPr>
        <w:rPr>
          <w:rFonts w:ascii="Times New Roman" w:hAnsi="Times New Roman"/>
        </w:rPr>
        <w:sectPr>
          <w:headerReference r:id="rId11" w:type="first"/>
          <w:headerReference r:id="rId10" w:type="even"/>
          <w:footerReference r:id="rId12" w:type="even"/>
          <w:pgSz w:w="11906" w:h="16838"/>
          <w:pgMar w:top="1418" w:right="1418" w:bottom="1134" w:left="1418" w:header="1417" w:footer="1134" w:gutter="0"/>
          <w:pgNumType w:fmt="upperRoman"/>
          <w:cols w:space="425" w:num="1"/>
          <w:titlePg/>
          <w:docGrid w:type="lines" w:linePitch="312" w:charSpace="0"/>
        </w:sectPr>
      </w:pPr>
      <w:r>
        <w:rPr>
          <w:rFonts w:ascii="宋体" w:hAnsi="Times New Roman"/>
        </w:rPr>
        <w:fldChar w:fldCharType="end"/>
      </w:r>
      <w:bookmarkStart w:id="58" w:name="_GoBack"/>
      <w:bookmarkEnd w:id="58"/>
    </w:p>
    <w:p w14:paraId="36C18525">
      <w:pPr>
        <w:pStyle w:val="46"/>
        <w:spacing w:before="156" w:after="156"/>
        <w:rPr>
          <w:rFonts w:hint="eastAsia"/>
        </w:rPr>
      </w:pPr>
      <w:bookmarkStart w:id="5" w:name="_Toc18526"/>
      <w:r>
        <w:rPr>
          <w:rFonts w:hint="eastAsia"/>
        </w:rPr>
        <w:t xml:space="preserve">前 </w:t>
      </w:r>
      <w:r>
        <w:t xml:space="preserve">   </w:t>
      </w:r>
      <w:r>
        <w:rPr>
          <w:rFonts w:hint="eastAsia"/>
        </w:rPr>
        <w:t>言</w:t>
      </w:r>
      <w:bookmarkEnd w:id="5"/>
    </w:p>
    <w:p w14:paraId="064084B1">
      <w:pPr>
        <w:pStyle w:val="43"/>
      </w:pPr>
      <w:r>
        <w:rPr>
          <w:rFonts w:hint="eastAsia"/>
        </w:rPr>
        <w:t>本标准按照GB/T 1.1—2020《标准化工作导则 第1部分：标准化文件的结构和起草规则》的规定起草。</w:t>
      </w:r>
    </w:p>
    <w:p w14:paraId="742F3E8F">
      <w:pPr>
        <w:pStyle w:val="43"/>
        <w:rPr>
          <w:rFonts w:hint="eastAsia"/>
        </w:rPr>
      </w:pPr>
      <w:r>
        <w:rPr>
          <w:rFonts w:hint="eastAsia"/>
        </w:rPr>
        <w:t>本标准首次制定。</w:t>
      </w:r>
    </w:p>
    <w:p w14:paraId="5FF89D10">
      <w:pPr>
        <w:pStyle w:val="43"/>
        <w:rPr>
          <w:rFonts w:hint="eastAsia"/>
        </w:rPr>
      </w:pPr>
      <w:r>
        <w:rPr>
          <w:rFonts w:hint="eastAsia"/>
        </w:rPr>
        <w:t>本标准不涉及专利问题，如后期制定与修改过程中涉及专利问题，应参照GB/T 20003.1的相关标准制定</w:t>
      </w:r>
    </w:p>
    <w:p w14:paraId="537FDFFF">
      <w:pPr>
        <w:pStyle w:val="43"/>
      </w:pPr>
      <w:r>
        <w:rPr>
          <w:rFonts w:hint="eastAsia"/>
        </w:rPr>
        <w:t>本标准由中国地理学会提出并归口。</w:t>
      </w:r>
    </w:p>
    <w:p w14:paraId="26724726">
      <w:pPr>
        <w:pStyle w:val="43"/>
        <w:rPr>
          <w:rFonts w:hint="eastAsia"/>
        </w:rPr>
      </w:pPr>
      <w:r>
        <w:rPr>
          <w:rFonts w:hint="eastAsia"/>
        </w:rPr>
        <w:t>本标准起草单位：中国科学院地理科学与资源研究所，磐石市农业农村局，吉林省绿舍村谷物种植有限公司。</w:t>
      </w:r>
    </w:p>
    <w:p w14:paraId="6EFD2441">
      <w:pPr>
        <w:pStyle w:val="43"/>
        <w:rPr>
          <w:rFonts w:hint="default" w:eastAsia="宋体"/>
          <w:lang w:val="en-US" w:eastAsia="zh-CN"/>
        </w:rPr>
        <w:sectPr>
          <w:footerReference r:id="rId14" w:type="first"/>
          <w:footerReference r:id="rId13" w:type="default"/>
          <w:pgSz w:w="11906" w:h="16838"/>
          <w:pgMar w:top="1418" w:right="1418" w:bottom="1134" w:left="1418" w:header="1417" w:footer="1134" w:gutter="0"/>
          <w:pgNumType w:fmt="upperRoman"/>
          <w:cols w:space="425" w:num="1"/>
          <w:titlePg/>
          <w:docGrid w:type="lines" w:linePitch="312" w:charSpace="0"/>
        </w:sectPr>
      </w:pPr>
      <w:r>
        <w:rPr>
          <w:rFonts w:hint="eastAsia"/>
        </w:rPr>
        <w:t>本标准起草人：宋献方、</w:t>
      </w:r>
      <w:r>
        <w:rPr>
          <w:rFonts w:hint="eastAsia"/>
          <w:lang w:val="en-US" w:eastAsia="zh-CN"/>
        </w:rPr>
        <w:t>杨丽虎、王泽晖、</w:t>
      </w:r>
      <w:r>
        <w:rPr>
          <w:rFonts w:hint="eastAsia"/>
        </w:rPr>
        <w:t>石敬臣、任建行、姚东绪、魏梦凡、管俊、杨锡财、徐有春、王远洋</w:t>
      </w:r>
    </w:p>
    <w:p w14:paraId="0064CC0D">
      <w:pPr>
        <w:pStyle w:val="46"/>
        <w:spacing w:before="156" w:after="156"/>
        <w:rPr>
          <w:rFonts w:hint="eastAsia"/>
        </w:rPr>
      </w:pPr>
      <w:bookmarkStart w:id="6" w:name="_Toc28648"/>
      <w:r>
        <w:rPr>
          <w:rFonts w:hint="eastAsia"/>
        </w:rPr>
        <w:t xml:space="preserve">引 </w:t>
      </w:r>
      <w:r>
        <w:t xml:space="preserve">   </w:t>
      </w:r>
      <w:r>
        <w:rPr>
          <w:rFonts w:hint="eastAsia"/>
        </w:rPr>
        <w:t>言</w:t>
      </w:r>
      <w:bookmarkEnd w:id="6"/>
    </w:p>
    <w:p w14:paraId="00343E66">
      <w:pPr>
        <w:pStyle w:val="43"/>
        <w:rPr>
          <w:rFonts w:hint="eastAsia"/>
        </w:rPr>
      </w:pPr>
      <w:r>
        <w:rPr>
          <w:rFonts w:hint="eastAsia"/>
        </w:rPr>
        <w:t>磐石市位于长白山脉向松嫩平原过渡地带，区域黑土地资源较为丰富，水库、塘坝、河流、湿地和水田相互交织，形成了具有地域特色的“稻田—塘坝—湿地”复合农业生境。水库和塘坝在水稻灌溉、水资源调蓄、生物栖息和农业景观维持等方面发挥重要作用，永久基本农田既承担粮食生产功能，也具有黑土地保护、水源涵养、生物多样性维持和农业文化传承等综合价值。</w:t>
      </w:r>
    </w:p>
    <w:p w14:paraId="7393EEB9">
      <w:pPr>
        <w:pStyle w:val="43"/>
      </w:pPr>
      <w:r>
        <w:rPr>
          <w:rFonts w:hint="eastAsia"/>
        </w:rPr>
        <w:t>磐石千塘稻的地域品质不仅取决于水稻品种和生产技术，还与区域气候、黑土地、水系塘坝和长期形成的农业生产方式密切相关。制定本文件旨在明确磐石千塘稻永久基本农田案例的保护范围、生境条件、生产管理和产品质量要求，为复合农业生境保护、稻米品质稳定和案例可持续发展提供标准化依据。</w:t>
      </w:r>
    </w:p>
    <w:p w14:paraId="480E717D">
      <w:pPr>
        <w:pStyle w:val="43"/>
      </w:pPr>
    </w:p>
    <w:p w14:paraId="6D24A971">
      <w:pPr>
        <w:pStyle w:val="43"/>
      </w:pPr>
    </w:p>
    <w:p w14:paraId="32853682">
      <w:pPr>
        <w:pStyle w:val="43"/>
      </w:pPr>
    </w:p>
    <w:p w14:paraId="3B88E6C7">
      <w:pPr>
        <w:pStyle w:val="43"/>
      </w:pPr>
    </w:p>
    <w:p w14:paraId="0E0A3A0F">
      <w:pPr>
        <w:pStyle w:val="43"/>
      </w:pPr>
    </w:p>
    <w:p w14:paraId="39621C27">
      <w:pPr>
        <w:pStyle w:val="43"/>
      </w:pPr>
    </w:p>
    <w:p w14:paraId="03DEE1AF">
      <w:pPr>
        <w:pStyle w:val="43"/>
        <w:sectPr>
          <w:pgSz w:w="11906" w:h="16838"/>
          <w:pgMar w:top="1418" w:right="1418" w:bottom="1134" w:left="1418" w:header="1417" w:footer="1134" w:gutter="0"/>
          <w:pgNumType w:fmt="upperRoman"/>
          <w:cols w:space="425" w:num="1"/>
          <w:titlePg/>
          <w:docGrid w:type="lines" w:linePitch="312" w:charSpace="0"/>
        </w:sectPr>
      </w:pPr>
    </w:p>
    <w:p w14:paraId="18849E10">
      <w:pPr>
        <w:pStyle w:val="46"/>
        <w:spacing w:before="156" w:after="156"/>
        <w:rPr>
          <w:rFonts w:hint="eastAsia"/>
        </w:rPr>
      </w:pPr>
      <w:bookmarkStart w:id="7" w:name="_Toc7655"/>
      <w:r>
        <w:rPr>
          <w:rFonts w:hint="eastAsia"/>
        </w:rPr>
        <w:t>地标生境 吉林磐石千塘稻永久基本农田案例</w:t>
      </w:r>
      <w:bookmarkEnd w:id="7"/>
    </w:p>
    <w:p w14:paraId="701A6875">
      <w:pPr>
        <w:pStyle w:val="40"/>
      </w:pPr>
      <w:bookmarkStart w:id="8" w:name="_Toc27076"/>
      <w:r>
        <w:rPr>
          <w:rFonts w:hint="eastAsia"/>
        </w:rPr>
        <w:t>范围</w:t>
      </w:r>
      <w:bookmarkEnd w:id="8"/>
    </w:p>
    <w:p w14:paraId="1C89B3E8">
      <w:pPr>
        <w:pStyle w:val="43"/>
        <w:rPr>
          <w:rFonts w:hint="eastAsia"/>
        </w:rPr>
      </w:pPr>
      <w:r>
        <w:rPr>
          <w:rFonts w:hint="eastAsia"/>
        </w:rPr>
        <w:t>本文件规定了磐石千塘稻永久基本农田案例的保护范围、生境条件、生境保护要求、水稻生产、收获与稻谷处理、大米加工和质量要求、检验方法、检验规则以及标志、标签、包装、运输和贮存。</w:t>
      </w:r>
    </w:p>
    <w:p w14:paraId="338E831D">
      <w:pPr>
        <w:pStyle w:val="43"/>
      </w:pPr>
      <w:r>
        <w:rPr>
          <w:rFonts w:hint="eastAsia"/>
        </w:rPr>
        <w:t>本文件适用于磐石千塘稻永久基本农田案例的生境保护与可持续管理，以及保护范围内水稻的生产、加工和产品质量评价。</w:t>
      </w:r>
    </w:p>
    <w:p w14:paraId="7D48B13E">
      <w:pPr>
        <w:pStyle w:val="40"/>
      </w:pPr>
      <w:bookmarkStart w:id="9" w:name="_Toc31122"/>
      <w:r>
        <w:rPr>
          <w:rFonts w:hint="eastAsia"/>
        </w:rPr>
        <w:t>规范性引用文件</w:t>
      </w:r>
      <w:bookmarkEnd w:id="9"/>
    </w:p>
    <w:p w14:paraId="68C4A330">
      <w:pPr>
        <w:pStyle w:val="43"/>
      </w:pPr>
      <w:r>
        <w:rPr>
          <w:rFonts w:hint="eastAsia"/>
        </w:rPr>
        <w:t>下列文件对于本文件的应用是必不可少的。凡是注日期的引用文件，仅注日期的版本适用于本文件。凡是不注日期引用文件，其最新版本（包括所有的修改单）适用于本文件。</w:t>
      </w:r>
    </w:p>
    <w:p w14:paraId="7E60C95C">
      <w:pPr>
        <w:pStyle w:val="43"/>
      </w:pPr>
      <w:r>
        <w:rPr>
          <w:rFonts w:hint="eastAsia"/>
        </w:rPr>
        <w:t>GB 3095环境空气质量标准</w:t>
      </w:r>
    </w:p>
    <w:p w14:paraId="6219CB7A">
      <w:pPr>
        <w:pStyle w:val="43"/>
      </w:pPr>
      <w:r>
        <w:rPr>
          <w:rFonts w:hint="eastAsia"/>
        </w:rPr>
        <w:t>GB 3838 地表水环境质量标准</w:t>
      </w:r>
    </w:p>
    <w:p w14:paraId="129FE74E">
      <w:pPr>
        <w:pStyle w:val="43"/>
      </w:pPr>
      <w:r>
        <w:rPr>
          <w:rFonts w:hint="eastAsia"/>
        </w:rPr>
        <w:t>GB 5009.3 食品安全国家标准食品中水分的测定</w:t>
      </w:r>
    </w:p>
    <w:p w14:paraId="1B7968F7">
      <w:pPr>
        <w:pStyle w:val="43"/>
      </w:pPr>
      <w:r>
        <w:rPr>
          <w:rFonts w:hint="eastAsia"/>
        </w:rPr>
        <w:t>GB/T 22294粮油检验大米胶稠度的测定</w:t>
      </w:r>
    </w:p>
    <w:p w14:paraId="1BBC861A">
      <w:pPr>
        <w:pStyle w:val="43"/>
      </w:pPr>
      <w:r>
        <w:rPr>
          <w:rFonts w:hint="eastAsia"/>
        </w:rPr>
        <w:t>GB/T 35881 粮油检验稻谷黄粒米含量测定图像分析法</w:t>
      </w:r>
    </w:p>
    <w:p w14:paraId="2A715A08">
      <w:pPr>
        <w:pStyle w:val="43"/>
      </w:pPr>
      <w:r>
        <w:rPr>
          <w:rFonts w:hint="eastAsia"/>
        </w:rPr>
        <w:t>GB/T 5492粮油检验粮食、油料的色泽、气味、口味鉴定</w:t>
      </w:r>
    </w:p>
    <w:p w14:paraId="59979C6D">
      <w:pPr>
        <w:pStyle w:val="43"/>
      </w:pPr>
      <w:r>
        <w:rPr>
          <w:rFonts w:hint="eastAsia"/>
        </w:rPr>
        <w:t>GB/T 5502 粮油检验大米加工精度检验</w:t>
      </w:r>
    </w:p>
    <w:p w14:paraId="2858F24B">
      <w:pPr>
        <w:pStyle w:val="43"/>
      </w:pPr>
      <w:r>
        <w:rPr>
          <w:rFonts w:hint="eastAsia"/>
        </w:rPr>
        <w:t>GB/T 5503粮油检验碎米检验法</w:t>
      </w:r>
    </w:p>
    <w:p w14:paraId="7753E1E9">
      <w:pPr>
        <w:pStyle w:val="43"/>
      </w:pPr>
      <w:r>
        <w:rPr>
          <w:rFonts w:hint="eastAsia"/>
        </w:rPr>
        <w:t>GB/T</w:t>
      </w:r>
      <w:r>
        <w:rPr>
          <w:rFonts w:hint="eastAsia"/>
          <w:lang w:val="en-US" w:eastAsia="zh-CN"/>
        </w:rPr>
        <w:t xml:space="preserve"> </w:t>
      </w:r>
      <w:r>
        <w:rPr>
          <w:rFonts w:hint="eastAsia"/>
        </w:rPr>
        <w:t>1354 大米</w:t>
      </w:r>
    </w:p>
    <w:p w14:paraId="680EB076">
      <w:pPr>
        <w:pStyle w:val="43"/>
      </w:pPr>
      <w:r>
        <w:rPr>
          <w:rFonts w:hint="eastAsia"/>
        </w:rPr>
        <w:t>GB/T</w:t>
      </w:r>
      <w:r>
        <w:rPr>
          <w:rFonts w:hint="eastAsia"/>
          <w:lang w:val="en-US" w:eastAsia="zh-CN"/>
        </w:rPr>
        <w:t xml:space="preserve"> </w:t>
      </w:r>
      <w:r>
        <w:rPr>
          <w:rFonts w:hint="eastAsia"/>
        </w:rPr>
        <w:t>15683 大米直链淀粉含量的测定</w:t>
      </w:r>
    </w:p>
    <w:p w14:paraId="169492C9">
      <w:pPr>
        <w:pStyle w:val="43"/>
      </w:pPr>
      <w:r>
        <w:rPr>
          <w:rFonts w:hint="eastAsia"/>
        </w:rPr>
        <w:t>GB/T</w:t>
      </w:r>
      <w:r>
        <w:rPr>
          <w:rFonts w:hint="eastAsia"/>
          <w:lang w:val="en-US" w:eastAsia="zh-CN"/>
        </w:rPr>
        <w:t xml:space="preserve"> </w:t>
      </w:r>
      <w:r>
        <w:rPr>
          <w:rFonts w:hint="eastAsia"/>
        </w:rPr>
        <w:t>15790稻瘟病测报调查规范</w:t>
      </w:r>
    </w:p>
    <w:p w14:paraId="5CCFDC6B">
      <w:pPr>
        <w:pStyle w:val="43"/>
      </w:pPr>
      <w:r>
        <w:rPr>
          <w:rFonts w:hint="eastAsia"/>
        </w:rPr>
        <w:t>GB/T</w:t>
      </w:r>
      <w:r>
        <w:rPr>
          <w:rFonts w:hint="eastAsia"/>
          <w:lang w:val="en-US" w:eastAsia="zh-CN"/>
        </w:rPr>
        <w:t xml:space="preserve"> </w:t>
      </w:r>
      <w:r>
        <w:rPr>
          <w:rFonts w:hint="eastAsia"/>
        </w:rPr>
        <w:t>5494 粮油检验粮食、油料的杂质、不完善粒检验</w:t>
      </w:r>
    </w:p>
    <w:p w14:paraId="2D47E5F0">
      <w:pPr>
        <w:pStyle w:val="43"/>
      </w:pPr>
      <w:r>
        <w:rPr>
          <w:rFonts w:hint="eastAsia"/>
        </w:rPr>
        <w:t>GB</w:t>
      </w:r>
      <w:r>
        <w:rPr>
          <w:rFonts w:hint="eastAsia"/>
          <w:lang w:val="en-US" w:eastAsia="zh-CN"/>
        </w:rPr>
        <w:t xml:space="preserve"> </w:t>
      </w:r>
      <w:r>
        <w:rPr>
          <w:rFonts w:hint="eastAsia"/>
        </w:rPr>
        <w:t>17109 粮食销售包装</w:t>
      </w:r>
    </w:p>
    <w:p w14:paraId="3A4D05B3">
      <w:pPr>
        <w:pStyle w:val="43"/>
      </w:pPr>
      <w:r>
        <w:rPr>
          <w:rFonts w:hint="eastAsia"/>
        </w:rPr>
        <w:t>GB</w:t>
      </w:r>
      <w:r>
        <w:rPr>
          <w:rFonts w:hint="eastAsia"/>
          <w:lang w:val="en-US" w:eastAsia="zh-CN"/>
        </w:rPr>
        <w:t xml:space="preserve"> </w:t>
      </w:r>
      <w:r>
        <w:rPr>
          <w:rFonts w:hint="eastAsia"/>
        </w:rPr>
        <w:t>2762 食品安全国家标准 食品中污染物限量</w:t>
      </w:r>
    </w:p>
    <w:p w14:paraId="37E071E1">
      <w:pPr>
        <w:pStyle w:val="43"/>
      </w:pPr>
      <w:r>
        <w:rPr>
          <w:rFonts w:hint="eastAsia"/>
        </w:rPr>
        <w:t>GB</w:t>
      </w:r>
      <w:r>
        <w:rPr>
          <w:rFonts w:hint="eastAsia"/>
          <w:lang w:val="en-US" w:eastAsia="zh-CN"/>
        </w:rPr>
        <w:t xml:space="preserve"> </w:t>
      </w:r>
      <w:r>
        <w:rPr>
          <w:rFonts w:hint="eastAsia"/>
        </w:rPr>
        <w:t>2763 食品安全国家标准 食品中农药最大残留限量</w:t>
      </w:r>
    </w:p>
    <w:p w14:paraId="387D9403">
      <w:pPr>
        <w:pStyle w:val="43"/>
      </w:pPr>
      <w:r>
        <w:rPr>
          <w:rFonts w:hint="eastAsia"/>
        </w:rPr>
        <w:t>GB</w:t>
      </w:r>
      <w:r>
        <w:rPr>
          <w:rFonts w:hint="eastAsia"/>
          <w:lang w:val="en-US" w:eastAsia="zh-CN"/>
        </w:rPr>
        <w:t xml:space="preserve"> </w:t>
      </w:r>
      <w:r>
        <w:rPr>
          <w:rFonts w:hint="eastAsia"/>
        </w:rPr>
        <w:t>4404.1 粮食作物种子 第1部分：禾谷类</w:t>
      </w:r>
    </w:p>
    <w:p w14:paraId="44A417AC">
      <w:pPr>
        <w:pStyle w:val="43"/>
      </w:pPr>
      <w:r>
        <w:rPr>
          <w:rFonts w:hint="eastAsia"/>
        </w:rPr>
        <w:t>GB</w:t>
      </w:r>
      <w:r>
        <w:rPr>
          <w:rFonts w:hint="eastAsia"/>
          <w:lang w:val="en-US" w:eastAsia="zh-CN"/>
        </w:rPr>
        <w:t xml:space="preserve"> </w:t>
      </w:r>
      <w:r>
        <w:rPr>
          <w:rFonts w:hint="eastAsia"/>
        </w:rPr>
        <w:t>5749 生活饮用水卫生标准</w:t>
      </w:r>
    </w:p>
    <w:p w14:paraId="662D007E">
      <w:pPr>
        <w:pStyle w:val="43"/>
      </w:pPr>
      <w:r>
        <w:rPr>
          <w:rFonts w:hint="eastAsia"/>
        </w:rPr>
        <w:t>NY/T 391绿色食品 产地环境质量</w:t>
      </w:r>
    </w:p>
    <w:p w14:paraId="6778C7E6">
      <w:pPr>
        <w:pStyle w:val="43"/>
      </w:pPr>
      <w:r>
        <w:rPr>
          <w:rFonts w:hint="eastAsia"/>
        </w:rPr>
        <w:t>NY/T 393绿色食品 农药使用准则</w:t>
      </w:r>
    </w:p>
    <w:p w14:paraId="1F99B280">
      <w:pPr>
        <w:pStyle w:val="43"/>
      </w:pPr>
      <w:r>
        <w:rPr>
          <w:rFonts w:hint="eastAsia"/>
        </w:rPr>
        <w:t>NY/T 593食用稻品种品质</w:t>
      </w:r>
    </w:p>
    <w:p w14:paraId="7277EDB7">
      <w:pPr>
        <w:pStyle w:val="43"/>
        <w:rPr>
          <w:rFonts w:hint="eastAsia"/>
        </w:rPr>
      </w:pPr>
      <w:r>
        <w:rPr>
          <w:rFonts w:hint="eastAsia"/>
        </w:rPr>
        <w:t>NY/T</w:t>
      </w:r>
      <w:r>
        <w:rPr>
          <w:rFonts w:hint="eastAsia"/>
          <w:lang w:val="en-US" w:eastAsia="zh-CN"/>
        </w:rPr>
        <w:t xml:space="preserve"> </w:t>
      </w:r>
      <w:r>
        <w:rPr>
          <w:rFonts w:hint="eastAsia"/>
        </w:rPr>
        <w:t>5190无公害食品稻米加工技术规范</w:t>
      </w:r>
    </w:p>
    <w:p w14:paraId="135F33CA">
      <w:pPr>
        <w:pStyle w:val="40"/>
      </w:pPr>
      <w:bookmarkStart w:id="10" w:name="_Toc20774"/>
      <w:r>
        <w:rPr>
          <w:rFonts w:hint="eastAsia"/>
        </w:rPr>
        <w:t>术语和定义</w:t>
      </w:r>
      <w:bookmarkEnd w:id="10"/>
    </w:p>
    <w:p w14:paraId="4652851A">
      <w:pPr>
        <w:pStyle w:val="43"/>
      </w:pPr>
      <w:r>
        <w:t>GB</w:t>
      </w:r>
      <w:r>
        <w:rPr>
          <w:rFonts w:hint="eastAsia"/>
          <w:lang w:val="en-US" w:eastAsia="zh-CN"/>
        </w:rPr>
        <w:t xml:space="preserve"> 1354</w:t>
      </w:r>
      <w:r>
        <w:rPr>
          <w:rFonts w:hint="eastAsia"/>
        </w:rPr>
        <w:t>界定的以及下列术语和定义适用于本文件。</w:t>
      </w:r>
    </w:p>
    <w:p w14:paraId="6B70066A">
      <w:pPr>
        <w:pStyle w:val="56"/>
      </w:pPr>
      <w:bookmarkStart w:id="11" w:name="_Toc942352"/>
      <w:bookmarkEnd w:id="11"/>
      <w:bookmarkStart w:id="12" w:name="_Toc942023"/>
      <w:bookmarkEnd w:id="12"/>
      <w:bookmarkStart w:id="13" w:name="_Toc1651886"/>
      <w:bookmarkEnd w:id="13"/>
      <w:bookmarkStart w:id="14" w:name="_Toc20965"/>
      <w:r>
        <w:t>地标生境(</w:t>
      </w:r>
      <w:r>
        <w:rPr>
          <w:rFonts w:hint="eastAsia"/>
        </w:rPr>
        <w:t>Geographical Indications Environment &amp; Sustainability，GIES</w:t>
      </w:r>
      <w:r>
        <w:t>)</w:t>
      </w:r>
      <w:bookmarkEnd w:id="14"/>
    </w:p>
    <w:p w14:paraId="1042D1D7">
      <w:pPr>
        <w:pStyle w:val="43"/>
      </w:pPr>
      <w:r>
        <w:rPr>
          <w:rFonts w:hint="eastAsia"/>
        </w:rPr>
        <w:t>地标生境即“优质地理产品生态环境保护与可持续发展”是中国科学院地理资源所、中国地理学会等联合提出的2021-2030十年行动计划，旨在践行“绿水青山就是金山银山”理念和推动联合国2030可持续发展目标实现。</w:t>
      </w:r>
    </w:p>
    <w:p w14:paraId="4D6550F4">
      <w:pPr>
        <w:pStyle w:val="56"/>
      </w:pPr>
      <w:bookmarkStart w:id="15" w:name="_Toc9191"/>
      <w:r>
        <w:rPr>
          <w:rFonts w:hint="eastAsia"/>
        </w:rPr>
        <w:t>千塘稻</w:t>
      </w:r>
      <w:r>
        <w:t xml:space="preserve"> Qiantang (Thousands Reservoirs) Rice</w:t>
      </w:r>
      <w:bookmarkEnd w:id="15"/>
    </w:p>
    <w:p w14:paraId="42DF8917">
      <w:pPr>
        <w:pStyle w:val="43"/>
      </w:pPr>
      <w:r>
        <w:rPr>
          <w:rFonts w:hint="eastAsia"/>
        </w:rPr>
        <w:t>在磐石千塘稻永久基本农田生态环境保护与可持续发展案例批准保护的范围内，依托水库、塘坝、河流、湿地和永久基本农田形成的复合农业生境，采用适宜当地生态条件的水稻品种和生产方式种植并加工形成的稻谷和大米产品在吉林磐石市独特的地理、气候和生态环境下种植的稻谷。</w:t>
      </w:r>
    </w:p>
    <w:p w14:paraId="149B1924">
      <w:pPr>
        <w:pStyle w:val="40"/>
      </w:pPr>
      <w:bookmarkStart w:id="16" w:name="_Toc942353"/>
      <w:bookmarkEnd w:id="16"/>
      <w:bookmarkStart w:id="17" w:name="_Toc942024"/>
      <w:bookmarkEnd w:id="17"/>
      <w:bookmarkStart w:id="18" w:name="_Toc1651887"/>
      <w:bookmarkEnd w:id="18"/>
      <w:bookmarkStart w:id="19" w:name="_Toc12564"/>
      <w:r>
        <w:rPr>
          <w:rFonts w:hint="eastAsia"/>
        </w:rPr>
        <w:t>产地范围</w:t>
      </w:r>
      <w:bookmarkEnd w:id="19"/>
    </w:p>
    <w:p w14:paraId="1D202F21">
      <w:pPr>
        <w:pStyle w:val="43"/>
        <w:rPr>
          <w:rFonts w:hint="eastAsia"/>
        </w:rPr>
      </w:pPr>
      <w:r>
        <w:rPr>
          <w:rFonts w:hint="eastAsia"/>
        </w:rPr>
        <w:t>千塘稻产品保护范围限于磐石千塘稻永久基本农田生态环境保护与可持续发展案例批准的范围，见附录</w:t>
      </w:r>
      <w:r>
        <w:t>A</w:t>
      </w:r>
      <w:r>
        <w:rPr>
          <w:rFonts w:hint="eastAsia"/>
        </w:rPr>
        <w:t>。</w:t>
      </w:r>
    </w:p>
    <w:p w14:paraId="7D4CC6C9">
      <w:pPr>
        <w:pStyle w:val="40"/>
        <w:rPr>
          <w:rFonts w:hint="eastAsia"/>
          <w:lang w:val="en-US" w:eastAsia="zh-CN"/>
        </w:rPr>
      </w:pPr>
      <w:bookmarkStart w:id="20" w:name="_Toc16421"/>
      <w:r>
        <w:rPr>
          <w:rFonts w:hint="eastAsia"/>
          <w:lang w:val="en-US" w:eastAsia="zh-CN"/>
        </w:rPr>
        <w:t>生境条件</w:t>
      </w:r>
      <w:bookmarkEnd w:id="20"/>
    </w:p>
    <w:p w14:paraId="04B1A3C9">
      <w:pPr>
        <w:pStyle w:val="56"/>
      </w:pPr>
      <w:bookmarkStart w:id="21" w:name="_Toc28310"/>
      <w:r>
        <w:rPr>
          <w:rFonts w:hint="eastAsia"/>
        </w:rPr>
        <w:t>地貌特征</w:t>
      </w:r>
      <w:bookmarkEnd w:id="21"/>
    </w:p>
    <w:p w14:paraId="2DE50C1F">
      <w:pPr>
        <w:pStyle w:val="43"/>
      </w:pPr>
      <w:r>
        <w:rPr>
          <w:rFonts w:hint="eastAsia"/>
        </w:rPr>
        <w:t>千塘稻产区地处长白山西麓、松辽平原向长白山过渡地带，中部、东北部高，南北低，状似屋脊地势，海拔</w:t>
      </w:r>
      <w:r>
        <w:t>500</w:t>
      </w:r>
      <w:r>
        <w:rPr>
          <w:rFonts w:hint="eastAsia"/>
        </w:rPr>
        <w:t>~</w:t>
      </w:r>
      <w:r>
        <w:t>1000</w:t>
      </w:r>
      <w:r>
        <w:rPr>
          <w:rFonts w:hint="eastAsia"/>
        </w:rPr>
        <w:t>米，为辉发河水系、饮马河水系的分水岭；在分水岭的南北两侧，河流顺向斜南北分流。</w:t>
      </w:r>
    </w:p>
    <w:p w14:paraId="470EBA48">
      <w:pPr>
        <w:pStyle w:val="56"/>
      </w:pPr>
      <w:bookmarkStart w:id="22" w:name="_Toc4614"/>
      <w:r>
        <w:rPr>
          <w:rFonts w:hint="eastAsia"/>
        </w:rPr>
        <w:t>日照</w:t>
      </w:r>
      <w:bookmarkEnd w:id="22"/>
    </w:p>
    <w:p w14:paraId="1B0D3EC4">
      <w:pPr>
        <w:pStyle w:val="43"/>
      </w:pPr>
      <w:r>
        <w:rPr>
          <w:rFonts w:hint="eastAsia"/>
        </w:rPr>
        <w:t>水稻生长季节（</w:t>
      </w:r>
      <w:r>
        <w:t>5</w:t>
      </w:r>
      <w:r>
        <w:rPr>
          <w:rFonts w:hint="eastAsia"/>
        </w:rPr>
        <w:t>月</w:t>
      </w:r>
      <w:r>
        <w:t>-10</w:t>
      </w:r>
      <w:r>
        <w:rPr>
          <w:rFonts w:hint="eastAsia"/>
        </w:rPr>
        <w:t>月）日照时数为</w:t>
      </w:r>
      <w:r>
        <w:t>1248h</w:t>
      </w:r>
      <w:r>
        <w:rPr>
          <w:rFonts w:hint="eastAsia"/>
        </w:rPr>
        <w:t>。</w:t>
      </w:r>
    </w:p>
    <w:p w14:paraId="662D9A2D">
      <w:pPr>
        <w:pStyle w:val="56"/>
      </w:pPr>
      <w:bookmarkStart w:id="23" w:name="_Toc5726"/>
      <w:r>
        <w:rPr>
          <w:rFonts w:hint="eastAsia"/>
        </w:rPr>
        <w:t>气温</w:t>
      </w:r>
      <w:bookmarkEnd w:id="23"/>
    </w:p>
    <w:p w14:paraId="7E809A4B">
      <w:pPr>
        <w:pStyle w:val="43"/>
      </w:pPr>
      <w:r>
        <w:rPr>
          <w:rFonts w:hint="eastAsia"/>
        </w:rPr>
        <w:t>水稻生长季节（</w:t>
      </w:r>
      <w:r>
        <w:t>5</w:t>
      </w:r>
      <w:r>
        <w:rPr>
          <w:rFonts w:hint="eastAsia"/>
        </w:rPr>
        <w:t>月</w:t>
      </w:r>
      <w:r>
        <w:t>-10</w:t>
      </w:r>
      <w:r>
        <w:rPr>
          <w:rFonts w:hint="eastAsia"/>
        </w:rPr>
        <w:t>月）的日平均气温</w:t>
      </w:r>
      <w:r>
        <w:t xml:space="preserve"> 16.8 </w:t>
      </w:r>
      <w:r>
        <w:rPr>
          <w:rFonts w:hint="eastAsia"/>
        </w:rPr>
        <w:t>℃，昼夜温差</w:t>
      </w:r>
      <w:r>
        <w:t xml:space="preserve">11.7 </w:t>
      </w:r>
      <w:r>
        <w:rPr>
          <w:rFonts w:hint="eastAsia"/>
        </w:rPr>
        <w:t>℃，大于</w:t>
      </w:r>
      <w:r>
        <w:t xml:space="preserve">10 </w:t>
      </w:r>
      <w:r>
        <w:rPr>
          <w:rFonts w:hint="eastAsia"/>
        </w:rPr>
        <w:t>℃的年积温为</w:t>
      </w:r>
      <w:r>
        <w:t>2700</w:t>
      </w:r>
      <w:r>
        <w:rPr>
          <w:rFonts w:hint="eastAsia"/>
        </w:rPr>
        <w:t>～</w:t>
      </w:r>
      <w:r>
        <w:t>2850</w:t>
      </w:r>
      <w:r>
        <w:rPr>
          <w:rFonts w:hint="eastAsia"/>
        </w:rPr>
        <w:t>℃，年平均无霜期为</w:t>
      </w:r>
      <w:r>
        <w:t>125d</w:t>
      </w:r>
      <w:r>
        <w:rPr>
          <w:rFonts w:hint="eastAsia"/>
        </w:rPr>
        <w:t>。</w:t>
      </w:r>
    </w:p>
    <w:p w14:paraId="26AC294E">
      <w:pPr>
        <w:pStyle w:val="56"/>
      </w:pPr>
      <w:bookmarkStart w:id="24" w:name="_Toc3208"/>
      <w:r>
        <w:rPr>
          <w:rFonts w:hint="eastAsia"/>
        </w:rPr>
        <w:t>降水</w:t>
      </w:r>
      <w:bookmarkEnd w:id="24"/>
    </w:p>
    <w:p w14:paraId="35B96B21">
      <w:pPr>
        <w:pStyle w:val="43"/>
      </w:pPr>
      <w:r>
        <w:rPr>
          <w:rFonts w:hint="eastAsia"/>
        </w:rPr>
        <w:t>水稻生长季节（</w:t>
      </w:r>
      <w:r>
        <w:t>5</w:t>
      </w:r>
      <w:r>
        <w:rPr>
          <w:rFonts w:hint="eastAsia"/>
        </w:rPr>
        <w:t>月</w:t>
      </w:r>
      <w:r>
        <w:t>-10</w:t>
      </w:r>
      <w:r>
        <w:rPr>
          <w:rFonts w:hint="eastAsia"/>
        </w:rPr>
        <w:t>月）的降水量为</w:t>
      </w:r>
      <w:r>
        <w:t>629.4mm</w:t>
      </w:r>
      <w:r>
        <w:rPr>
          <w:rFonts w:hint="eastAsia"/>
        </w:rPr>
        <w:t>，年均降水量为</w:t>
      </w:r>
      <w:r>
        <w:t>728.2mm</w:t>
      </w:r>
    </w:p>
    <w:p w14:paraId="254FAA01">
      <w:pPr>
        <w:pStyle w:val="56"/>
      </w:pPr>
      <w:bookmarkStart w:id="25" w:name="_Toc29413"/>
      <w:r>
        <w:rPr>
          <w:rFonts w:hint="eastAsia"/>
        </w:rPr>
        <w:t>土壤</w:t>
      </w:r>
      <w:bookmarkEnd w:id="25"/>
    </w:p>
    <w:p w14:paraId="7C39BA1B">
      <w:pPr>
        <w:pStyle w:val="43"/>
      </w:pPr>
      <w:r>
        <w:rPr>
          <w:rFonts w:hint="eastAsia"/>
        </w:rPr>
        <w:t>水稻土土壤</w:t>
      </w:r>
      <w:r>
        <w:t>pH</w:t>
      </w:r>
      <w:r>
        <w:rPr>
          <w:rFonts w:hint="eastAsia"/>
        </w:rPr>
        <w:t>值</w:t>
      </w:r>
      <w:r>
        <w:t>4.2~7.7</w:t>
      </w:r>
      <w:r>
        <w:rPr>
          <w:rFonts w:hint="eastAsia"/>
        </w:rPr>
        <w:t>，平均值为</w:t>
      </w:r>
      <w:r>
        <w:t>5.25</w:t>
      </w:r>
      <w:r>
        <w:rPr>
          <w:rFonts w:hint="eastAsia"/>
        </w:rPr>
        <w:t>；有机质平均含量</w:t>
      </w:r>
      <w:r>
        <w:t>31.1g/kg</w:t>
      </w:r>
      <w:r>
        <w:rPr>
          <w:rFonts w:hint="eastAsia"/>
        </w:rPr>
        <w:t>；全氮平均含量为</w:t>
      </w:r>
      <w:r>
        <w:t>1.7g/kg</w:t>
      </w:r>
      <w:r>
        <w:rPr>
          <w:rFonts w:hint="eastAsia"/>
        </w:rPr>
        <w:t>；有效磷平均含量</w:t>
      </w:r>
      <w:r>
        <w:t>88.7mg/kg</w:t>
      </w:r>
      <w:r>
        <w:rPr>
          <w:rFonts w:hint="eastAsia"/>
        </w:rPr>
        <w:t>；速效钾平均含量为</w:t>
      </w:r>
      <w:r>
        <w:t>166.8mg/kg</w:t>
      </w:r>
      <w:r>
        <w:rPr>
          <w:rFonts w:hint="eastAsia"/>
        </w:rPr>
        <w:t>。</w:t>
      </w:r>
    </w:p>
    <w:p w14:paraId="4DA5A487">
      <w:pPr>
        <w:pStyle w:val="56"/>
      </w:pPr>
      <w:bookmarkStart w:id="26" w:name="_Toc11758"/>
      <w:r>
        <w:rPr>
          <w:rFonts w:hint="eastAsia"/>
        </w:rPr>
        <w:t>水源</w:t>
      </w:r>
      <w:bookmarkEnd w:id="26"/>
    </w:p>
    <w:p w14:paraId="3554E783">
      <w:pPr>
        <w:pStyle w:val="43"/>
      </w:pPr>
      <w:r>
        <w:rPr>
          <w:rFonts w:hint="eastAsia"/>
        </w:rPr>
        <w:t>本区域水稻灌溉用水主要以地表水为水源，河流包括南部辉发河，北部饮马河两大水系。境内共有大小河流</w:t>
      </w:r>
      <w:r>
        <w:t>65</w:t>
      </w:r>
      <w:r>
        <w:rPr>
          <w:rFonts w:hint="eastAsia"/>
        </w:rPr>
        <w:t>条，保护范围内水库、塘坝和河流水系分布较为密集，水田灌溉水源主要来自水库、塘坝及河流。。</w:t>
      </w:r>
    </w:p>
    <w:p w14:paraId="2F1B5EBD">
      <w:pPr>
        <w:pStyle w:val="56"/>
      </w:pPr>
      <w:bookmarkStart w:id="27" w:name="_Toc6241"/>
      <w:r>
        <w:rPr>
          <w:rFonts w:hint="eastAsia"/>
        </w:rPr>
        <w:t>水质要求</w:t>
      </w:r>
      <w:bookmarkEnd w:id="27"/>
    </w:p>
    <w:p w14:paraId="66A5BFA8">
      <w:pPr>
        <w:pStyle w:val="43"/>
      </w:pPr>
      <w:r>
        <w:rPr>
          <w:rFonts w:hint="eastAsia"/>
        </w:rPr>
        <w:t>用于稻田灌溉的河流、水库的水质符合</w:t>
      </w:r>
      <w:r>
        <w:t>GB 3838</w:t>
      </w:r>
      <w:r>
        <w:rPr>
          <w:rFonts w:hint="eastAsia"/>
        </w:rPr>
        <w:t xml:space="preserve"> </w:t>
      </w:r>
      <w:r>
        <w:rPr>
          <w:rFonts w:hint="eastAsia" w:ascii="宋体" w:hAnsi="宋体"/>
        </w:rPr>
        <w:t>Ⅲ类水</w:t>
      </w:r>
      <w:r>
        <w:rPr>
          <w:rFonts w:hint="eastAsia"/>
        </w:rPr>
        <w:t>标准。</w:t>
      </w:r>
    </w:p>
    <w:p w14:paraId="7FB69074">
      <w:pPr>
        <w:pStyle w:val="56"/>
      </w:pPr>
      <w:bookmarkStart w:id="28" w:name="_Toc5264"/>
      <w:r>
        <w:rPr>
          <w:rFonts w:hint="eastAsia"/>
        </w:rPr>
        <w:t>环境空气</w:t>
      </w:r>
      <w:bookmarkEnd w:id="28"/>
    </w:p>
    <w:p w14:paraId="19D0BF15">
      <w:pPr>
        <w:pStyle w:val="43"/>
        <w:rPr>
          <w:rFonts w:hint="eastAsia"/>
        </w:rPr>
      </w:pPr>
      <w:r>
        <w:rPr>
          <w:rFonts w:hint="eastAsia"/>
        </w:rPr>
        <w:t>环境空气质量标准（</w:t>
      </w:r>
      <w:r>
        <w:t>GB 3095</w:t>
      </w:r>
      <w:r>
        <w:rPr>
          <w:rFonts w:hint="eastAsia"/>
        </w:rPr>
        <w:t>）的二级规定。</w:t>
      </w:r>
    </w:p>
    <w:p w14:paraId="51FE31A0">
      <w:pPr>
        <w:pStyle w:val="56"/>
        <w:rPr>
          <w:rFonts w:hint="eastAsia"/>
          <w:lang w:val="en-US" w:eastAsia="zh-CN"/>
        </w:rPr>
      </w:pPr>
      <w:bookmarkStart w:id="29" w:name="_Toc736"/>
      <w:r>
        <w:rPr>
          <w:rFonts w:hint="eastAsia"/>
          <w:lang w:val="en-US" w:eastAsia="zh-CN"/>
        </w:rPr>
        <w:t>生境监测</w:t>
      </w:r>
      <w:bookmarkEnd w:id="29"/>
    </w:p>
    <w:p w14:paraId="75FCC4D2">
      <w:pPr>
        <w:pStyle w:val="43"/>
        <w:rPr>
          <w:rFonts w:hint="eastAsia"/>
          <w:lang w:val="en-US" w:eastAsia="zh-CN"/>
        </w:rPr>
      </w:pPr>
      <w:r>
        <w:rPr>
          <w:rFonts w:hint="eastAsia"/>
          <w:lang w:val="en-US" w:eastAsia="zh-CN"/>
        </w:rPr>
        <w:t>案例区设置产品生境自动观测站，对水稻生长环境进行监测和记录。监测内容宜包括气象、土壤、水质、植被和病虫害等指标，监测数据应及时整理并保存，用于评价千塘稻生境状况及其变化。案例区现有10个产品生境自动观测站，分布于兰家村、宝山红果、黄河、亚吉、磐海、五四、官马、人和、东方红和柳杨等区域。</w:t>
      </w:r>
    </w:p>
    <w:p w14:paraId="783F55BA">
      <w:pPr>
        <w:pStyle w:val="40"/>
      </w:pPr>
      <w:bookmarkStart w:id="30" w:name="_Toc3852"/>
      <w:r>
        <w:rPr>
          <w:rFonts w:hint="eastAsia"/>
        </w:rPr>
        <w:t>水稻生产</w:t>
      </w:r>
      <w:bookmarkEnd w:id="30"/>
    </w:p>
    <w:p w14:paraId="30C8BD41">
      <w:pPr>
        <w:pStyle w:val="56"/>
      </w:pPr>
      <w:bookmarkStart w:id="31" w:name="_Toc9764"/>
      <w:r>
        <w:rPr>
          <w:rFonts w:hint="eastAsia"/>
        </w:rPr>
        <w:t>品种选择</w:t>
      </w:r>
      <w:bookmarkEnd w:id="31"/>
    </w:p>
    <w:p w14:paraId="201123AF">
      <w:pPr>
        <w:pStyle w:val="43"/>
      </w:pPr>
      <w:r>
        <w:rPr>
          <w:rFonts w:hint="eastAsia"/>
        </w:rPr>
        <w:t>应选用经审定、适宜磐石积温和无霜期条件、品质优良、抗倒伏和抗主要病害能力较强的水稻品种。种子质量应符合</w:t>
      </w:r>
      <w:r>
        <w:t>GB4404.1</w:t>
      </w:r>
      <w:r>
        <w:rPr>
          <w:rFonts w:hint="eastAsia"/>
        </w:rPr>
        <w:t>的有关规定，达到国家一级标准。</w:t>
      </w:r>
    </w:p>
    <w:p w14:paraId="4C92A579">
      <w:pPr>
        <w:pStyle w:val="56"/>
      </w:pPr>
      <w:bookmarkStart w:id="32" w:name="_Toc11058"/>
      <w:r>
        <w:rPr>
          <w:rFonts w:hint="eastAsia"/>
        </w:rPr>
        <w:t>种子处理</w:t>
      </w:r>
      <w:bookmarkEnd w:id="32"/>
    </w:p>
    <w:p w14:paraId="30E2F5F0">
      <w:pPr>
        <w:pStyle w:val="65"/>
      </w:pPr>
      <w:r>
        <w:rPr>
          <w:rFonts w:hint="eastAsia"/>
        </w:rPr>
        <w:t>户外晒种</w:t>
      </w:r>
    </w:p>
    <w:p w14:paraId="0E01D002">
      <w:pPr>
        <w:pStyle w:val="43"/>
      </w:pPr>
      <w:r>
        <w:t>3</w:t>
      </w:r>
      <w:r>
        <w:rPr>
          <w:rFonts w:hint="eastAsia"/>
        </w:rPr>
        <w:t>月下旬浸种前在户外阳光下将稻种平铺</w:t>
      </w:r>
      <w:r>
        <w:t>8~10cm</w:t>
      </w:r>
      <w:r>
        <w:rPr>
          <w:rFonts w:hint="eastAsia"/>
        </w:rPr>
        <w:t>厚，晒</w:t>
      </w:r>
      <w:r>
        <w:t>2~3</w:t>
      </w:r>
      <w:r>
        <w:rPr>
          <w:rFonts w:hint="eastAsia"/>
        </w:rPr>
        <w:t>天，每天翻动</w:t>
      </w:r>
      <w:r>
        <w:t>3~4</w:t>
      </w:r>
      <w:r>
        <w:rPr>
          <w:rFonts w:hint="eastAsia"/>
        </w:rPr>
        <w:t>次。</w:t>
      </w:r>
    </w:p>
    <w:p w14:paraId="1F04586A">
      <w:pPr>
        <w:pStyle w:val="65"/>
      </w:pPr>
      <w:r>
        <w:rPr>
          <w:rFonts w:hint="eastAsia"/>
        </w:rPr>
        <w:t>浸种消毒</w:t>
      </w:r>
    </w:p>
    <w:p w14:paraId="04C0A032">
      <w:pPr>
        <w:pStyle w:val="43"/>
      </w:pPr>
      <w:r>
        <w:rPr>
          <w:rFonts w:hint="eastAsia"/>
        </w:rPr>
        <w:t>依据</w:t>
      </w:r>
      <w:r>
        <w:t>NY/T39</w:t>
      </w:r>
      <w:r>
        <w:rPr>
          <w:rFonts w:hint="eastAsia"/>
        </w:rPr>
        <w:t>3绿色食品农药使用准则</w:t>
      </w:r>
      <w:r>
        <w:t>，</w:t>
      </w:r>
      <w:r>
        <w:rPr>
          <w:rFonts w:hint="eastAsia"/>
        </w:rPr>
        <w:t>选择咯菌腈、多菌灵等高效低毒消毒剂进行消毒</w:t>
      </w:r>
      <w:r>
        <w:t xml:space="preserve">， </w:t>
      </w:r>
      <w:r>
        <w:rPr>
          <w:rFonts w:hint="eastAsia"/>
        </w:rPr>
        <w:t>浸种时必须使水面高出种子</w:t>
      </w:r>
      <w:r>
        <w:t>15cm，</w:t>
      </w:r>
      <w:r>
        <w:rPr>
          <w:rFonts w:hint="eastAsia"/>
        </w:rPr>
        <w:t>浸种时间随水温而定</w:t>
      </w:r>
      <w:r>
        <w:t>，</w:t>
      </w:r>
      <w:r>
        <w:rPr>
          <w:rFonts w:hint="eastAsia"/>
        </w:rPr>
        <w:t>一般每天平均水温</w:t>
      </w:r>
      <w:r>
        <w:t>15</w:t>
      </w:r>
      <w:r>
        <w:rPr>
          <w:rFonts w:hint="eastAsia"/>
          <w:lang w:val="en-US" w:eastAsia="zh-CN"/>
        </w:rPr>
        <w:t>℃</w:t>
      </w:r>
      <w:r>
        <w:rPr>
          <w:rFonts w:hint="eastAsia"/>
        </w:rPr>
        <w:t>时浸种</w:t>
      </w:r>
      <w:r>
        <w:t>6~7</w:t>
      </w:r>
      <w:r>
        <w:rPr>
          <w:rFonts w:hint="eastAsia"/>
        </w:rPr>
        <w:t>天，水温</w:t>
      </w:r>
      <w:r>
        <w:t>10</w:t>
      </w:r>
      <w:r>
        <w:rPr>
          <w:rFonts w:hint="eastAsia"/>
          <w:lang w:val="en-US" w:eastAsia="zh-CN"/>
        </w:rPr>
        <w:t>℃</w:t>
      </w:r>
      <w:r>
        <w:rPr>
          <w:rFonts w:hint="eastAsia"/>
        </w:rPr>
        <w:t>时浸种</w:t>
      </w:r>
      <w:r>
        <w:t>9~10</w:t>
      </w:r>
      <w:r>
        <w:rPr>
          <w:rFonts w:hint="eastAsia"/>
        </w:rPr>
        <w:t>天</w:t>
      </w:r>
      <w:r>
        <w:t>(</w:t>
      </w:r>
      <w:r>
        <w:rPr>
          <w:rFonts w:hint="eastAsia"/>
        </w:rPr>
        <w:t>即浸种有效积温宜达到</w:t>
      </w:r>
      <w:r>
        <w:rPr>
          <w:rFonts w:hint="default" w:ascii="Times New Roman" w:hAnsi="Times New Roman" w:cs="Times New Roman"/>
        </w:rPr>
        <w:t>100 ℃·d左右</w:t>
      </w:r>
      <w:r>
        <w:t>)</w:t>
      </w:r>
      <w:r>
        <w:rPr>
          <w:rFonts w:hint="eastAsia"/>
        </w:rPr>
        <w:t>。</w:t>
      </w:r>
    </w:p>
    <w:p w14:paraId="6CCE4ECA">
      <w:pPr>
        <w:pStyle w:val="65"/>
      </w:pPr>
      <w:r>
        <w:rPr>
          <w:rFonts w:hint="eastAsia"/>
        </w:rPr>
        <w:t>种子催芽</w:t>
      </w:r>
    </w:p>
    <w:p w14:paraId="41B1972A">
      <w:pPr>
        <w:pStyle w:val="43"/>
      </w:pPr>
      <w:r>
        <w:rPr>
          <w:rFonts w:hint="eastAsia"/>
        </w:rPr>
        <w:t>需要清洗的消毒剂要将种子清洗后放入</w:t>
      </w:r>
      <w:r>
        <w:t>40</w:t>
      </w:r>
      <w:r>
        <w:rPr>
          <w:rFonts w:hint="eastAsia"/>
        </w:rPr>
        <w:t>℃</w:t>
      </w:r>
      <w:r>
        <w:t>~50</w:t>
      </w:r>
      <w:r>
        <w:rPr>
          <w:rFonts w:hint="eastAsia"/>
        </w:rPr>
        <w:t>℃温水中预热，温热后立即捞出</w:t>
      </w:r>
      <w:r>
        <w:t>；</w:t>
      </w:r>
      <w:r>
        <w:rPr>
          <w:rFonts w:hint="eastAsia"/>
        </w:rPr>
        <w:t>不需清洗的消毒剂可直接将种子捞出放在保温处催芽</w:t>
      </w:r>
      <w:r>
        <w:t>，</w:t>
      </w:r>
      <w:r>
        <w:rPr>
          <w:rFonts w:hint="eastAsia"/>
        </w:rPr>
        <w:t>种子堆积厚度不超过</w:t>
      </w:r>
      <w:r>
        <w:t>50cm，</w:t>
      </w:r>
      <w:r>
        <w:rPr>
          <w:rFonts w:hint="eastAsia"/>
        </w:rPr>
        <w:t>种子中间放温度计</w:t>
      </w:r>
      <w:r>
        <w:t>，</w:t>
      </w:r>
      <w:r>
        <w:rPr>
          <w:rFonts w:hint="eastAsia"/>
        </w:rPr>
        <w:t>控制温度在</w:t>
      </w:r>
      <w:r>
        <w:t>28</w:t>
      </w:r>
      <w:r>
        <w:rPr>
          <w:rFonts w:hint="eastAsia"/>
        </w:rPr>
        <w:t>℃</w:t>
      </w:r>
      <w:r>
        <w:t>~ 30</w:t>
      </w:r>
      <w:r>
        <w:rPr>
          <w:rFonts w:hint="eastAsia"/>
        </w:rPr>
        <w:t>℃左右。发芽时每天要翻动</w:t>
      </w:r>
      <w:r>
        <w:t>3~4</w:t>
      </w:r>
      <w:r>
        <w:rPr>
          <w:rFonts w:hint="eastAsia"/>
        </w:rPr>
        <w:t>次。催芽时</w:t>
      </w:r>
      <w:r>
        <w:t>，</w:t>
      </w:r>
      <w:r>
        <w:rPr>
          <w:rFonts w:hint="eastAsia"/>
        </w:rPr>
        <w:t>应将种子放在阴凉处摊开，晾芽</w:t>
      </w:r>
      <w:r>
        <w:t>6~8</w:t>
      </w:r>
      <w:r>
        <w:rPr>
          <w:rFonts w:hint="eastAsia"/>
        </w:rPr>
        <w:t>小时左右，即可播种。</w:t>
      </w:r>
    </w:p>
    <w:p w14:paraId="550102CB">
      <w:pPr>
        <w:pStyle w:val="56"/>
      </w:pPr>
      <w:bookmarkStart w:id="33" w:name="_Toc1395"/>
      <w:r>
        <w:rPr>
          <w:rFonts w:hint="eastAsia"/>
        </w:rPr>
        <w:t>苗期管理</w:t>
      </w:r>
      <w:bookmarkEnd w:id="33"/>
    </w:p>
    <w:p w14:paraId="22D50C1A">
      <w:pPr>
        <w:pStyle w:val="65"/>
      </w:pPr>
      <w:r>
        <w:rPr>
          <w:rFonts w:hint="eastAsia"/>
        </w:rPr>
        <w:t>苗床地选择</w:t>
      </w:r>
    </w:p>
    <w:p w14:paraId="623DF991">
      <w:pPr>
        <w:pStyle w:val="43"/>
      </w:pPr>
      <w:r>
        <w:rPr>
          <w:rFonts w:hint="eastAsia"/>
        </w:rPr>
        <w:t>选择环境质量符合</w:t>
      </w:r>
      <w:r>
        <w:t>NY/T391</w:t>
      </w:r>
      <w:r>
        <w:rPr>
          <w:rFonts w:hint="eastAsia"/>
        </w:rPr>
        <w:t>要求</w:t>
      </w:r>
      <w:r>
        <w:rPr>
          <w:rFonts w:hint="eastAsia"/>
          <w:lang w:val="en-US" w:eastAsia="zh-CN"/>
        </w:rPr>
        <w:t>的田地。</w:t>
      </w:r>
    </w:p>
    <w:p w14:paraId="1FE819DE">
      <w:pPr>
        <w:pStyle w:val="65"/>
      </w:pPr>
      <w:r>
        <w:rPr>
          <w:rFonts w:hint="eastAsia"/>
        </w:rPr>
        <w:t>育苗土配制</w:t>
      </w:r>
    </w:p>
    <w:p w14:paraId="436DBB64">
      <w:pPr>
        <w:pStyle w:val="43"/>
      </w:pPr>
      <w:r>
        <w:rPr>
          <w:rFonts w:hint="eastAsia"/>
        </w:rPr>
        <w:t>育苗前要对营养土进行结构调整，加入25%~ 30%腐熟的堆肥混拌均匀，然后再加入营养土调制剂。</w:t>
      </w:r>
    </w:p>
    <w:p w14:paraId="63BAD0DB">
      <w:pPr>
        <w:pStyle w:val="65"/>
      </w:pPr>
      <w:r>
        <w:rPr>
          <w:rFonts w:hint="eastAsia"/>
        </w:rPr>
        <w:t>整地做床</w:t>
      </w:r>
    </w:p>
    <w:p w14:paraId="10EB401F">
      <w:pPr>
        <w:pStyle w:val="43"/>
      </w:pPr>
      <w:r>
        <w:rPr>
          <w:rFonts w:hint="eastAsia"/>
        </w:rPr>
        <w:t>苗床规格</w:t>
      </w:r>
      <w:r>
        <w:t>：</w:t>
      </w:r>
      <w:r>
        <w:rPr>
          <w:rFonts w:hint="eastAsia"/>
        </w:rPr>
        <w:t>大棚床宽</w:t>
      </w:r>
      <w:r>
        <w:t>5~6m，</w:t>
      </w:r>
      <w:r>
        <w:rPr>
          <w:rFonts w:hint="eastAsia"/>
        </w:rPr>
        <w:t>棚高</w:t>
      </w:r>
      <w:r>
        <w:t>1.7~2.0m，</w:t>
      </w:r>
      <w:r>
        <w:rPr>
          <w:rFonts w:hint="eastAsia"/>
        </w:rPr>
        <w:t>长度根据所需面积确定，作床中间设置过道。一般秧本田比为旱育苗</w:t>
      </w:r>
      <w:r>
        <w:t>1:80~ 120，</w:t>
      </w:r>
      <w:r>
        <w:rPr>
          <w:rFonts w:hint="eastAsia"/>
        </w:rPr>
        <w:t>钵育苗</w:t>
      </w:r>
      <w:r>
        <w:t>1:100~150</w:t>
      </w:r>
      <w:r>
        <w:rPr>
          <w:rFonts w:hint="eastAsia"/>
        </w:rPr>
        <w:t>。秋做床</w:t>
      </w:r>
      <w:r>
        <w:t>:</w:t>
      </w:r>
      <w:r>
        <w:rPr>
          <w:rFonts w:hint="eastAsia"/>
        </w:rPr>
        <w:t>秋翻</w:t>
      </w:r>
      <w:r>
        <w:t>10~15cm，</w:t>
      </w:r>
      <w:r>
        <w:rPr>
          <w:rFonts w:hint="eastAsia"/>
        </w:rPr>
        <w:t>然后碎土、捞平、镇压。如春做床</w:t>
      </w:r>
      <w:r>
        <w:t>，</w:t>
      </w:r>
      <w:r>
        <w:rPr>
          <w:rFonts w:hint="eastAsia"/>
        </w:rPr>
        <w:t>应于</w:t>
      </w:r>
      <w:r>
        <w:t>3</w:t>
      </w:r>
      <w:r>
        <w:rPr>
          <w:rFonts w:hint="eastAsia"/>
        </w:rPr>
        <w:t>月底</w:t>
      </w:r>
      <w:r>
        <w:t>~4</w:t>
      </w:r>
      <w:r>
        <w:rPr>
          <w:rFonts w:hint="eastAsia"/>
        </w:rPr>
        <w:t>月初土壤化冻</w:t>
      </w:r>
      <w:r>
        <w:t>10~15cm</w:t>
      </w:r>
      <w:r>
        <w:rPr>
          <w:rFonts w:hint="eastAsia"/>
        </w:rPr>
        <w:t>时进行。播种前育苗床应施腐熟优质农肥</w:t>
      </w:r>
      <w:r>
        <w:t>10~ 15kg/m2，</w:t>
      </w:r>
      <w:r>
        <w:rPr>
          <w:rFonts w:hint="eastAsia"/>
        </w:rPr>
        <w:t>浅翻</w:t>
      </w:r>
      <w:r>
        <w:t>10~15cm，</w:t>
      </w:r>
      <w:r>
        <w:rPr>
          <w:rFonts w:hint="eastAsia"/>
        </w:rPr>
        <w:t>然后将床土和农肥混拌均匀</w:t>
      </w:r>
      <w:r>
        <w:t>，</w:t>
      </w:r>
      <w:r>
        <w:rPr>
          <w:rFonts w:hint="eastAsia"/>
        </w:rPr>
        <w:t>耙细整平。</w:t>
      </w:r>
    </w:p>
    <w:p w14:paraId="2C07A195">
      <w:pPr>
        <w:pStyle w:val="65"/>
      </w:pPr>
      <w:r>
        <w:rPr>
          <w:rFonts w:hint="eastAsia"/>
        </w:rPr>
        <w:t>播种育苗</w:t>
      </w:r>
    </w:p>
    <w:p w14:paraId="612DBEAD">
      <w:pPr>
        <w:pStyle w:val="43"/>
      </w:pPr>
      <w:r>
        <w:rPr>
          <w:rFonts w:hint="eastAsia"/>
        </w:rPr>
        <w:t>水稻育苗一般在4月上中旬，当日平均温度稳定通过5℃或夜间最低温度稳定通过0℃时适宜播种。</w:t>
      </w:r>
    </w:p>
    <w:p w14:paraId="32F8E8B6">
      <w:pPr>
        <w:pStyle w:val="56"/>
      </w:pPr>
      <w:bookmarkStart w:id="34" w:name="_Toc8482"/>
      <w:r>
        <w:rPr>
          <w:rFonts w:hint="eastAsia"/>
        </w:rPr>
        <w:t>本田管理</w:t>
      </w:r>
      <w:bookmarkEnd w:id="34"/>
    </w:p>
    <w:p w14:paraId="12045D3F">
      <w:pPr>
        <w:pStyle w:val="65"/>
      </w:pPr>
      <w:r>
        <w:rPr>
          <w:rFonts w:hint="eastAsia"/>
        </w:rPr>
        <w:t>整地</w:t>
      </w:r>
    </w:p>
    <w:p w14:paraId="4C79E62B">
      <w:pPr>
        <w:pStyle w:val="43"/>
      </w:pPr>
      <w:r>
        <w:rPr>
          <w:rFonts w:hint="eastAsia"/>
        </w:rPr>
        <w:t>有条件的地方应进行秋翻深翻</w:t>
      </w:r>
      <w:r>
        <w:t>(</w:t>
      </w:r>
      <w:r>
        <w:rPr>
          <w:rFonts w:hint="eastAsia"/>
        </w:rPr>
        <w:t>砂质土壤不宜深翻</w:t>
      </w:r>
      <w:r>
        <w:t>)</w:t>
      </w:r>
      <w:r>
        <w:rPr>
          <w:rFonts w:hint="eastAsia"/>
        </w:rPr>
        <w:t>，耕翻深度以</w:t>
      </w:r>
      <w:r>
        <w:t>15cm</w:t>
      </w:r>
      <w:r>
        <w:rPr>
          <w:rFonts w:hint="eastAsia"/>
        </w:rPr>
        <w:t>左右为宜</w:t>
      </w:r>
      <w:r>
        <w:t>；</w:t>
      </w:r>
      <w:r>
        <w:rPr>
          <w:rFonts w:hint="eastAsia"/>
        </w:rPr>
        <w:t>水源不足的稻田可采用旋耕法</w:t>
      </w:r>
      <w:r>
        <w:t>，</w:t>
      </w:r>
      <w:r>
        <w:rPr>
          <w:rFonts w:hint="eastAsia"/>
        </w:rPr>
        <w:t>旋耕深度要达到</w:t>
      </w:r>
      <w:r>
        <w:t>10~12cm；</w:t>
      </w:r>
      <w:r>
        <w:rPr>
          <w:rFonts w:hint="eastAsia"/>
        </w:rPr>
        <w:t>有机质含量高、水源又不足的地块可免耕。在插秧前进行精细整地，落差维持在2~3cm。</w:t>
      </w:r>
    </w:p>
    <w:p w14:paraId="7B7FE6DE">
      <w:pPr>
        <w:pStyle w:val="65"/>
      </w:pPr>
      <w:r>
        <w:rPr>
          <w:rFonts w:hint="eastAsia"/>
        </w:rPr>
        <w:t>施肥</w:t>
      </w:r>
    </w:p>
    <w:p w14:paraId="75659931">
      <w:pPr>
        <w:pStyle w:val="43"/>
      </w:pPr>
      <w:r>
        <w:rPr>
          <w:rFonts w:hint="eastAsia"/>
        </w:rPr>
        <w:t>应根据土壤肥力、目标产量和品种需肥规律开展测土配方施肥，有机肥和氮、磷、钾肥用量按照当地农业技术部门推荐方案执行</w:t>
      </w:r>
      <w:r>
        <w:rPr>
          <w:rFonts w:hint="eastAsia"/>
          <w:lang w:eastAsia="zh-CN"/>
        </w:rPr>
        <w:t>。</w:t>
      </w:r>
      <w:r>
        <w:rPr>
          <w:rFonts w:hint="eastAsia"/>
        </w:rPr>
        <w:t>如果出穗后水稻长势不好，可喷施叶面肥作补充。禁止施用未经农业部门登记的肥料，禁止施用激素类肥料。</w:t>
      </w:r>
    </w:p>
    <w:p w14:paraId="639D3C29">
      <w:pPr>
        <w:pStyle w:val="65"/>
      </w:pPr>
      <w:r>
        <w:rPr>
          <w:rFonts w:hint="eastAsia"/>
        </w:rPr>
        <w:t>插秧</w:t>
      </w:r>
    </w:p>
    <w:p w14:paraId="3D2F796A">
      <w:pPr>
        <w:pStyle w:val="43"/>
      </w:pPr>
      <w:r>
        <w:rPr>
          <w:rFonts w:hint="eastAsia"/>
        </w:rPr>
        <w:t>5月下旬，采用宽窄行移栽，即宽行距与窄行距相间栽插，有利于群体通风透光，减轻水稻纹枯病、稻瘟病等病害的发生。</w:t>
      </w:r>
    </w:p>
    <w:p w14:paraId="02096334">
      <w:pPr>
        <w:pStyle w:val="65"/>
      </w:pPr>
      <w:r>
        <w:rPr>
          <w:rFonts w:hint="eastAsia"/>
        </w:rPr>
        <w:t>灌溉</w:t>
      </w:r>
    </w:p>
    <w:p w14:paraId="4F56AC06">
      <w:pPr>
        <w:pStyle w:val="43"/>
      </w:pPr>
      <w:r>
        <w:rPr>
          <w:rFonts w:hint="eastAsia"/>
        </w:rPr>
        <w:t>浅水插秧、深水护苗、浅水促蘖、深晒控蘖、深水护胎、间断增粒原则，在保产量、保品质的同时节约用水。</w:t>
      </w:r>
    </w:p>
    <w:p w14:paraId="5B88518A">
      <w:pPr>
        <w:pStyle w:val="56"/>
      </w:pPr>
      <w:bookmarkStart w:id="35" w:name="_Toc23215"/>
      <w:r>
        <w:rPr>
          <w:rFonts w:hint="eastAsia"/>
        </w:rPr>
        <w:t>病虫草害防治</w:t>
      </w:r>
      <w:bookmarkEnd w:id="35"/>
    </w:p>
    <w:p w14:paraId="17AD1246">
      <w:pPr>
        <w:pStyle w:val="65"/>
      </w:pPr>
      <w:r>
        <w:rPr>
          <w:rFonts w:hint="eastAsia"/>
        </w:rPr>
        <w:t>防治原则</w:t>
      </w:r>
    </w:p>
    <w:p w14:paraId="6F5C37E2">
      <w:pPr>
        <w:pStyle w:val="43"/>
      </w:pPr>
      <w:r>
        <w:rPr>
          <w:rFonts w:hint="eastAsia"/>
        </w:rPr>
        <w:t>坚持“预防为主、综合防治”原则。要严格遵守绿色食品农药使用准则（NY/T393）的有关规定，选用低毒、低残留、安全、高效的农药，并严格执行其用量、安全间隔期等。</w:t>
      </w:r>
    </w:p>
    <w:p w14:paraId="5DA88487">
      <w:pPr>
        <w:pStyle w:val="65"/>
      </w:pPr>
      <w:r>
        <w:rPr>
          <w:rFonts w:hint="eastAsia"/>
          <w:lang w:val="en-US" w:eastAsia="zh-CN"/>
        </w:rPr>
        <w:t>病虫害防治</w:t>
      </w:r>
    </w:p>
    <w:p w14:paraId="6DF10BBA">
      <w:pPr>
        <w:pStyle w:val="43"/>
      </w:pPr>
      <w:r>
        <w:rPr>
          <w:rFonts w:hint="eastAsia"/>
        </w:rPr>
        <w:t>依据T/CQZBJS 04水稻病虫草害绿色防控技术规程的方法针对主要病虫害对象进行防治。</w:t>
      </w:r>
    </w:p>
    <w:p w14:paraId="64C87602">
      <w:pPr>
        <w:pStyle w:val="65"/>
      </w:pPr>
      <w:r>
        <w:rPr>
          <w:rFonts w:hint="eastAsia"/>
        </w:rPr>
        <w:t>杂草</w:t>
      </w:r>
    </w:p>
    <w:p w14:paraId="555E5C46">
      <w:pPr>
        <w:pStyle w:val="43"/>
        <w:rPr>
          <w:rFonts w:hint="eastAsia" w:eastAsia="宋体"/>
          <w:lang w:eastAsia="zh-CN"/>
        </w:rPr>
      </w:pPr>
      <w:r>
        <w:rPr>
          <w:rFonts w:hint="eastAsia"/>
        </w:rPr>
        <w:t>最好采用人工中耕除草，尽量减少化学型除草剂的使用，也可以在稻田放养鸭子(即稻鸭共养的生态栽培方法)</w:t>
      </w:r>
      <w:r>
        <w:rPr>
          <w:rFonts w:hint="eastAsia"/>
          <w:lang w:eastAsia="zh-CN"/>
        </w:rPr>
        <w:t>。</w:t>
      </w:r>
    </w:p>
    <w:p w14:paraId="4B9A441B">
      <w:pPr>
        <w:pStyle w:val="56"/>
      </w:pPr>
      <w:bookmarkStart w:id="36" w:name="_Toc9325"/>
      <w:r>
        <w:rPr>
          <w:rFonts w:hint="eastAsia"/>
        </w:rPr>
        <w:t>收获</w:t>
      </w:r>
      <w:bookmarkEnd w:id="36"/>
    </w:p>
    <w:p w14:paraId="09E9CCE3">
      <w:pPr>
        <w:pStyle w:val="43"/>
      </w:pPr>
      <w:r>
        <w:rPr>
          <w:rFonts w:hint="eastAsia"/>
        </w:rPr>
        <w:t>依据籽粒变黄程度确定收获期，当籽粒的90%以上变黄成熟，穗轴有1/3 变黄，基部有很少一部分绿色籽粒存在时为最适收获期。水稻收割后应捆成小捆进行自然晾晒，并经常翻动，以降低稻谷的含水量。</w:t>
      </w:r>
    </w:p>
    <w:p w14:paraId="79645DE7">
      <w:pPr>
        <w:pStyle w:val="43"/>
      </w:pPr>
      <w:r>
        <w:rPr>
          <w:rFonts w:hint="eastAsia"/>
        </w:rPr>
        <w:t>稻谷水分下降到15%时再进行脱粒，可使其含水量保持在低水平。不同品种要分收、分储，禁止在公路、沥青路面及粉尘污染的地方脱粒、晒谷，运输、储藏、加工过程要符合无公害食品稻米加工技术规范（NY/T5190）的规定，以提高稻米加工及食品品质。</w:t>
      </w:r>
    </w:p>
    <w:p w14:paraId="565C580C">
      <w:pPr>
        <w:pStyle w:val="40"/>
      </w:pPr>
      <w:bookmarkStart w:id="37" w:name="_Toc20342"/>
      <w:r>
        <w:rPr>
          <w:rFonts w:hint="eastAsia"/>
        </w:rPr>
        <w:t>加工生产</w:t>
      </w:r>
      <w:bookmarkEnd w:id="37"/>
    </w:p>
    <w:p w14:paraId="530BEDC8">
      <w:pPr>
        <w:pStyle w:val="56"/>
      </w:pPr>
      <w:bookmarkStart w:id="38" w:name="_Toc13118"/>
      <w:r>
        <w:rPr>
          <w:rFonts w:hint="eastAsia"/>
        </w:rPr>
        <w:t>加工</w:t>
      </w:r>
      <w:bookmarkEnd w:id="38"/>
    </w:p>
    <w:p w14:paraId="3581D45C">
      <w:pPr>
        <w:pStyle w:val="43"/>
      </w:pPr>
      <w:r>
        <w:rPr>
          <w:rFonts w:hint="eastAsia"/>
        </w:rPr>
        <w:t>应采用清理、砻谷、碾米、白米分级、色选、包装等加工工艺，并有抛光工艺可选。大米加工用水应符合GB5749的要求。</w:t>
      </w:r>
    </w:p>
    <w:p w14:paraId="2544C06C">
      <w:pPr>
        <w:pStyle w:val="56"/>
      </w:pPr>
      <w:bookmarkStart w:id="39" w:name="_Toc8231"/>
      <w:r>
        <w:rPr>
          <w:rFonts w:hint="eastAsia"/>
        </w:rPr>
        <w:t>加工质量指标</w:t>
      </w:r>
      <w:bookmarkEnd w:id="39"/>
    </w:p>
    <w:p w14:paraId="5996AE3F">
      <w:pPr>
        <w:pStyle w:val="43"/>
      </w:pPr>
      <w:r>
        <w:rPr>
          <w:rFonts w:hint="eastAsia"/>
        </w:rPr>
        <w:t>加工质量指标见表1。</w:t>
      </w:r>
    </w:p>
    <w:p w14:paraId="1C30BC09">
      <w:pPr>
        <w:pStyle w:val="43"/>
      </w:pPr>
      <w:r>
        <w:rPr>
          <w:rFonts w:hint="eastAsia"/>
        </w:rPr>
        <w:t>表1 加工质量指标</w:t>
      </w:r>
    </w:p>
    <w:tbl>
      <w:tblPr>
        <w:tblStyle w:val="22"/>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1532"/>
        <w:gridCol w:w="1842"/>
        <w:gridCol w:w="1984"/>
        <w:gridCol w:w="1844"/>
      </w:tblGrid>
      <w:tr w14:paraId="1835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gridSpan w:val="2"/>
          </w:tcPr>
          <w:p w14:paraId="6DE529A9">
            <w:pPr>
              <w:pStyle w:val="43"/>
              <w:ind w:firstLine="0" w:firstLineChars="0"/>
              <w:rPr>
                <w:rFonts w:ascii="Calibri" w:hAnsi="Calibri"/>
              </w:rPr>
            </w:pPr>
            <w:r>
              <w:rPr>
                <w:rFonts w:hint="eastAsia" w:ascii="Calibri" w:hAnsi="Calibri"/>
              </w:rPr>
              <w:t>项目</w:t>
            </w:r>
          </w:p>
        </w:tc>
        <w:tc>
          <w:tcPr>
            <w:tcW w:w="5670" w:type="dxa"/>
            <w:gridSpan w:val="3"/>
          </w:tcPr>
          <w:p w14:paraId="36A2A231">
            <w:pPr>
              <w:pStyle w:val="43"/>
              <w:ind w:firstLine="0" w:firstLineChars="0"/>
              <w:rPr>
                <w:rFonts w:ascii="Calibri" w:hAnsi="Calibri"/>
              </w:rPr>
            </w:pPr>
            <w:r>
              <w:rPr>
                <w:rFonts w:hint="eastAsia" w:ascii="Calibri" w:hAnsi="Calibri"/>
              </w:rPr>
              <w:t>指标</w:t>
            </w:r>
          </w:p>
        </w:tc>
      </w:tr>
      <w:tr w14:paraId="5E1A9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gridSpan w:val="2"/>
          </w:tcPr>
          <w:p w14:paraId="71383FE1">
            <w:pPr>
              <w:pStyle w:val="43"/>
              <w:ind w:firstLine="0" w:firstLineChars="0"/>
              <w:rPr>
                <w:rFonts w:ascii="Calibri" w:hAnsi="Calibri"/>
                <w:color w:val="auto"/>
                <w:shd w:val="clear" w:color="auto" w:fill="auto"/>
              </w:rPr>
            </w:pPr>
          </w:p>
        </w:tc>
        <w:tc>
          <w:tcPr>
            <w:tcW w:w="1842" w:type="dxa"/>
          </w:tcPr>
          <w:p w14:paraId="15F79CAB">
            <w:pPr>
              <w:pStyle w:val="43"/>
              <w:ind w:firstLine="0" w:firstLineChars="0"/>
              <w:rPr>
                <w:rFonts w:ascii="Calibri" w:hAnsi="Calibri"/>
                <w:color w:val="auto"/>
                <w:shd w:val="clear" w:color="auto" w:fill="auto"/>
              </w:rPr>
            </w:pPr>
            <w:r>
              <w:rPr>
                <w:rFonts w:hint="eastAsia" w:ascii="Calibri" w:hAnsi="Calibri"/>
                <w:color w:val="auto"/>
                <w:shd w:val="clear" w:color="auto" w:fill="auto"/>
              </w:rPr>
              <w:t>特等</w:t>
            </w:r>
          </w:p>
        </w:tc>
        <w:tc>
          <w:tcPr>
            <w:tcW w:w="1984" w:type="dxa"/>
          </w:tcPr>
          <w:p w14:paraId="5741FE66">
            <w:pPr>
              <w:pStyle w:val="43"/>
              <w:ind w:firstLine="0" w:firstLineChars="0"/>
              <w:rPr>
                <w:rFonts w:ascii="Calibri" w:hAnsi="Calibri"/>
                <w:color w:val="auto"/>
                <w:shd w:val="clear" w:color="auto" w:fill="auto"/>
              </w:rPr>
            </w:pPr>
            <w:r>
              <w:rPr>
                <w:rFonts w:hint="eastAsia" w:ascii="Calibri" w:hAnsi="Calibri"/>
                <w:color w:val="auto"/>
                <w:shd w:val="clear" w:color="auto" w:fill="auto"/>
              </w:rPr>
              <w:t>优质一等</w:t>
            </w:r>
          </w:p>
        </w:tc>
        <w:tc>
          <w:tcPr>
            <w:tcW w:w="1844" w:type="dxa"/>
          </w:tcPr>
          <w:p w14:paraId="19C96453">
            <w:pPr>
              <w:pStyle w:val="43"/>
              <w:ind w:firstLine="0" w:firstLineChars="0"/>
              <w:rPr>
                <w:rFonts w:ascii="Calibri" w:hAnsi="Calibri"/>
                <w:color w:val="auto"/>
                <w:shd w:val="clear" w:color="auto" w:fill="auto"/>
              </w:rPr>
            </w:pPr>
            <w:r>
              <w:rPr>
                <w:rFonts w:hint="eastAsia" w:ascii="Calibri" w:hAnsi="Calibri"/>
                <w:color w:val="auto"/>
                <w:shd w:val="clear" w:color="auto" w:fill="auto"/>
              </w:rPr>
              <w:t>优质二等</w:t>
            </w:r>
          </w:p>
        </w:tc>
      </w:tr>
      <w:tr w14:paraId="2B70B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gridSpan w:val="2"/>
          </w:tcPr>
          <w:p w14:paraId="48080B92">
            <w:pPr>
              <w:pStyle w:val="43"/>
              <w:ind w:firstLine="0" w:firstLineChars="0"/>
              <w:rPr>
                <w:rFonts w:ascii="Calibri" w:hAnsi="Calibri"/>
                <w:color w:val="auto"/>
                <w:shd w:val="clear" w:color="auto" w:fill="auto"/>
              </w:rPr>
            </w:pPr>
            <w:r>
              <w:rPr>
                <w:rFonts w:hint="eastAsia" w:ascii="Calibri" w:hAnsi="Calibri"/>
                <w:color w:val="auto"/>
                <w:shd w:val="clear" w:color="auto" w:fill="auto"/>
              </w:rPr>
              <w:t>加工精度</w:t>
            </w:r>
          </w:p>
        </w:tc>
        <w:tc>
          <w:tcPr>
            <w:tcW w:w="5670" w:type="dxa"/>
            <w:gridSpan w:val="3"/>
          </w:tcPr>
          <w:p w14:paraId="51F47D1E">
            <w:pPr>
              <w:pStyle w:val="43"/>
              <w:ind w:firstLine="0" w:firstLineChars="0"/>
              <w:rPr>
                <w:rFonts w:ascii="Calibri" w:hAnsi="Calibri"/>
                <w:color w:val="auto"/>
                <w:shd w:val="clear" w:color="auto" w:fill="auto"/>
              </w:rPr>
            </w:pPr>
            <w:r>
              <w:rPr>
                <w:rFonts w:hint="eastAsia" w:ascii="Calibri" w:hAnsi="Calibri"/>
                <w:color w:val="auto"/>
                <w:shd w:val="clear" w:color="auto" w:fill="auto"/>
              </w:rPr>
              <w:t>精碾</w:t>
            </w:r>
          </w:p>
        </w:tc>
      </w:tr>
      <w:tr w14:paraId="1FD0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gridSpan w:val="2"/>
          </w:tcPr>
          <w:p w14:paraId="1F46C706">
            <w:pPr>
              <w:pStyle w:val="43"/>
              <w:ind w:firstLine="0" w:firstLineChars="0"/>
              <w:rPr>
                <w:rFonts w:ascii="Calibri" w:hAnsi="Calibri"/>
                <w:color w:val="auto"/>
                <w:highlight w:val="none"/>
                <w:shd w:val="clear" w:color="auto" w:fill="auto"/>
              </w:rPr>
            </w:pPr>
            <w:r>
              <w:rPr>
                <w:rFonts w:hint="eastAsia" w:ascii="Calibri" w:hAnsi="Calibri"/>
                <w:color w:val="auto"/>
                <w:highlight w:val="none"/>
                <w:shd w:val="clear" w:color="auto" w:fill="auto"/>
              </w:rPr>
              <w:t>黄粒米/%   ≤</w:t>
            </w:r>
          </w:p>
        </w:tc>
        <w:tc>
          <w:tcPr>
            <w:tcW w:w="1842" w:type="dxa"/>
          </w:tcPr>
          <w:p w14:paraId="794E0013">
            <w:pPr>
              <w:pStyle w:val="43"/>
              <w:ind w:firstLine="0" w:firstLineChars="0"/>
              <w:rPr>
                <w:rFonts w:ascii="Calibri" w:hAnsi="Calibri"/>
                <w:color w:val="auto"/>
                <w:highlight w:val="none"/>
                <w:shd w:val="clear" w:color="auto" w:fill="auto"/>
              </w:rPr>
            </w:pPr>
            <w:r>
              <w:rPr>
                <w:rFonts w:hint="eastAsia" w:ascii="Calibri" w:hAnsi="Calibri"/>
                <w:color w:val="auto"/>
                <w:highlight w:val="none"/>
                <w:shd w:val="clear" w:color="auto" w:fill="auto"/>
              </w:rPr>
              <w:t>0.04</w:t>
            </w:r>
          </w:p>
        </w:tc>
        <w:tc>
          <w:tcPr>
            <w:tcW w:w="1984" w:type="dxa"/>
          </w:tcPr>
          <w:p w14:paraId="57E9FB17">
            <w:pPr>
              <w:pStyle w:val="43"/>
              <w:ind w:firstLine="0" w:firstLineChars="0"/>
              <w:rPr>
                <w:rFonts w:ascii="Calibri" w:hAnsi="Calibri"/>
                <w:color w:val="auto"/>
                <w:highlight w:val="none"/>
                <w:shd w:val="clear" w:color="auto" w:fill="auto"/>
              </w:rPr>
            </w:pPr>
            <w:r>
              <w:rPr>
                <w:rFonts w:hint="eastAsia" w:ascii="Calibri" w:hAnsi="Calibri"/>
                <w:color w:val="auto"/>
                <w:highlight w:val="none"/>
                <w:shd w:val="clear" w:color="auto" w:fill="auto"/>
              </w:rPr>
              <w:t>0.1</w:t>
            </w:r>
          </w:p>
        </w:tc>
        <w:tc>
          <w:tcPr>
            <w:tcW w:w="1844" w:type="dxa"/>
          </w:tcPr>
          <w:p w14:paraId="4065E35F">
            <w:pPr>
              <w:pStyle w:val="43"/>
              <w:ind w:firstLine="0" w:firstLineChars="0"/>
              <w:rPr>
                <w:rFonts w:ascii="Calibri" w:hAnsi="Calibri"/>
                <w:color w:val="auto"/>
                <w:highlight w:val="none"/>
                <w:shd w:val="clear" w:color="auto" w:fill="auto"/>
              </w:rPr>
            </w:pPr>
            <w:r>
              <w:rPr>
                <w:rFonts w:hint="eastAsia" w:ascii="Calibri" w:hAnsi="Calibri"/>
                <w:color w:val="auto"/>
                <w:highlight w:val="none"/>
                <w:shd w:val="clear" w:color="auto" w:fill="auto"/>
              </w:rPr>
              <w:t>0.2</w:t>
            </w:r>
          </w:p>
        </w:tc>
      </w:tr>
      <w:tr w14:paraId="71299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gridSpan w:val="2"/>
          </w:tcPr>
          <w:p w14:paraId="1CE89D19">
            <w:pPr>
              <w:pStyle w:val="43"/>
              <w:ind w:firstLine="0" w:firstLineChars="0"/>
              <w:rPr>
                <w:rFonts w:ascii="Calibri" w:hAnsi="Calibri"/>
                <w:color w:val="auto"/>
                <w:shd w:val="clear" w:color="auto" w:fill="auto"/>
              </w:rPr>
            </w:pPr>
            <w:r>
              <w:rPr>
                <w:rFonts w:hint="eastAsia" w:ascii="Calibri" w:hAnsi="Calibri"/>
                <w:color w:val="auto"/>
                <w:shd w:val="clear" w:color="auto" w:fill="auto"/>
              </w:rPr>
              <w:t>不完善粒/% ≤</w:t>
            </w:r>
          </w:p>
        </w:tc>
        <w:tc>
          <w:tcPr>
            <w:tcW w:w="1842" w:type="dxa"/>
          </w:tcPr>
          <w:p w14:paraId="22DF7CE9">
            <w:pPr>
              <w:pStyle w:val="43"/>
              <w:ind w:firstLine="0" w:firstLineChars="0"/>
              <w:rPr>
                <w:rFonts w:ascii="Calibri" w:hAnsi="Calibri"/>
                <w:color w:val="auto"/>
                <w:shd w:val="clear" w:color="auto" w:fill="auto"/>
              </w:rPr>
            </w:pPr>
            <w:r>
              <w:rPr>
                <w:rFonts w:hint="eastAsia" w:ascii="Calibri" w:hAnsi="Calibri"/>
                <w:color w:val="auto"/>
                <w:shd w:val="clear" w:color="auto" w:fill="auto"/>
              </w:rPr>
              <w:t>1.0</w:t>
            </w:r>
          </w:p>
        </w:tc>
        <w:tc>
          <w:tcPr>
            <w:tcW w:w="1984" w:type="dxa"/>
          </w:tcPr>
          <w:p w14:paraId="667231A5">
            <w:pPr>
              <w:pStyle w:val="43"/>
              <w:ind w:firstLine="0" w:firstLineChars="0"/>
              <w:rPr>
                <w:rFonts w:ascii="Calibri" w:hAnsi="Calibri"/>
                <w:color w:val="auto"/>
                <w:shd w:val="clear" w:color="auto" w:fill="auto"/>
              </w:rPr>
            </w:pPr>
            <w:r>
              <w:rPr>
                <w:rFonts w:hint="eastAsia" w:ascii="Calibri" w:hAnsi="Calibri"/>
                <w:color w:val="auto"/>
                <w:shd w:val="clear" w:color="auto" w:fill="auto"/>
              </w:rPr>
              <w:t>1.5</w:t>
            </w:r>
          </w:p>
        </w:tc>
        <w:tc>
          <w:tcPr>
            <w:tcW w:w="1844" w:type="dxa"/>
          </w:tcPr>
          <w:p w14:paraId="72C7AC4A">
            <w:pPr>
              <w:pStyle w:val="43"/>
              <w:ind w:firstLine="0" w:firstLineChars="0"/>
              <w:rPr>
                <w:rFonts w:ascii="Calibri" w:hAnsi="Calibri"/>
                <w:color w:val="auto"/>
                <w:shd w:val="clear" w:color="auto" w:fill="auto"/>
              </w:rPr>
            </w:pPr>
          </w:p>
        </w:tc>
      </w:tr>
      <w:tr w14:paraId="205C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7" w:type="dxa"/>
            <w:vMerge w:val="restart"/>
          </w:tcPr>
          <w:p w14:paraId="32CA3E8F">
            <w:pPr>
              <w:pStyle w:val="43"/>
              <w:ind w:firstLine="0" w:firstLineChars="0"/>
              <w:rPr>
                <w:rFonts w:ascii="Calibri" w:hAnsi="Calibri"/>
                <w:color w:val="auto"/>
                <w:highlight w:val="none"/>
                <w:shd w:val="clear" w:color="auto" w:fill="auto"/>
              </w:rPr>
            </w:pPr>
            <w:r>
              <w:rPr>
                <w:rFonts w:hint="eastAsia" w:ascii="Calibri" w:hAnsi="Calibri"/>
                <w:color w:val="auto"/>
                <w:highlight w:val="none"/>
                <w:shd w:val="clear" w:color="auto" w:fill="auto"/>
              </w:rPr>
              <w:t>杂质/% ≤</w:t>
            </w:r>
          </w:p>
        </w:tc>
        <w:tc>
          <w:tcPr>
            <w:tcW w:w="1532" w:type="dxa"/>
          </w:tcPr>
          <w:p w14:paraId="6599E23D">
            <w:pPr>
              <w:pStyle w:val="43"/>
              <w:ind w:firstLine="0" w:firstLineChars="0"/>
              <w:rPr>
                <w:rFonts w:ascii="Calibri" w:hAnsi="Calibri"/>
                <w:color w:val="auto"/>
                <w:highlight w:val="none"/>
                <w:shd w:val="clear" w:color="auto" w:fill="auto"/>
              </w:rPr>
            </w:pPr>
            <w:r>
              <w:rPr>
                <w:rFonts w:hint="eastAsia" w:ascii="Calibri" w:hAnsi="Calibri"/>
                <w:color w:val="auto"/>
                <w:highlight w:val="none"/>
                <w:shd w:val="clear" w:color="auto" w:fill="auto"/>
              </w:rPr>
              <w:t>总量</w:t>
            </w:r>
          </w:p>
        </w:tc>
        <w:tc>
          <w:tcPr>
            <w:tcW w:w="1842" w:type="dxa"/>
          </w:tcPr>
          <w:p w14:paraId="13CEBAE9">
            <w:pPr>
              <w:pStyle w:val="43"/>
              <w:ind w:firstLine="0" w:firstLineChars="0"/>
              <w:rPr>
                <w:rFonts w:ascii="Calibri" w:hAnsi="Calibri"/>
                <w:color w:val="auto"/>
                <w:highlight w:val="none"/>
                <w:shd w:val="clear" w:color="auto" w:fill="auto"/>
              </w:rPr>
            </w:pPr>
            <w:r>
              <w:rPr>
                <w:rFonts w:hint="eastAsia" w:ascii="Calibri" w:hAnsi="Calibri"/>
                <w:color w:val="auto"/>
                <w:highlight w:val="none"/>
                <w:shd w:val="clear" w:color="auto" w:fill="auto"/>
              </w:rPr>
              <w:t>0.04</w:t>
            </w:r>
          </w:p>
        </w:tc>
        <w:tc>
          <w:tcPr>
            <w:tcW w:w="1984" w:type="dxa"/>
          </w:tcPr>
          <w:p w14:paraId="7CE530A4">
            <w:pPr>
              <w:pStyle w:val="43"/>
              <w:ind w:firstLine="0" w:firstLineChars="0"/>
              <w:rPr>
                <w:rFonts w:ascii="Calibri" w:hAnsi="Calibri"/>
                <w:color w:val="auto"/>
                <w:highlight w:val="none"/>
                <w:shd w:val="clear" w:color="auto" w:fill="auto"/>
              </w:rPr>
            </w:pPr>
            <w:r>
              <w:rPr>
                <w:rFonts w:hint="eastAsia" w:ascii="Calibri" w:hAnsi="Calibri"/>
                <w:color w:val="auto"/>
                <w:highlight w:val="none"/>
                <w:shd w:val="clear" w:color="auto" w:fill="auto"/>
              </w:rPr>
              <w:t>0.10</w:t>
            </w:r>
          </w:p>
        </w:tc>
        <w:tc>
          <w:tcPr>
            <w:tcW w:w="1844" w:type="dxa"/>
          </w:tcPr>
          <w:p w14:paraId="7F880606">
            <w:pPr>
              <w:pStyle w:val="43"/>
              <w:ind w:firstLine="0" w:firstLineChars="0"/>
              <w:rPr>
                <w:rFonts w:ascii="Calibri" w:hAnsi="Calibri"/>
                <w:color w:val="auto"/>
                <w:highlight w:val="none"/>
                <w:shd w:val="clear" w:color="auto" w:fill="auto"/>
              </w:rPr>
            </w:pPr>
            <w:r>
              <w:rPr>
                <w:rFonts w:hint="eastAsia" w:ascii="Calibri" w:hAnsi="Calibri"/>
                <w:color w:val="auto"/>
                <w:highlight w:val="none"/>
                <w:shd w:val="clear" w:color="auto" w:fill="auto"/>
              </w:rPr>
              <w:t>0.20</w:t>
            </w:r>
          </w:p>
        </w:tc>
      </w:tr>
      <w:tr w14:paraId="3BAD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7" w:type="dxa"/>
            <w:vMerge w:val="continue"/>
          </w:tcPr>
          <w:p w14:paraId="3891915C">
            <w:pPr>
              <w:pStyle w:val="43"/>
              <w:ind w:firstLine="0" w:firstLineChars="0"/>
              <w:rPr>
                <w:rFonts w:ascii="Calibri" w:hAnsi="Calibri"/>
                <w:color w:val="auto"/>
                <w:shd w:val="clear" w:color="auto" w:fill="auto"/>
              </w:rPr>
            </w:pPr>
          </w:p>
        </w:tc>
        <w:tc>
          <w:tcPr>
            <w:tcW w:w="1532" w:type="dxa"/>
          </w:tcPr>
          <w:p w14:paraId="40A1ECDF">
            <w:pPr>
              <w:pStyle w:val="43"/>
              <w:ind w:firstLine="0" w:firstLineChars="0"/>
              <w:rPr>
                <w:rFonts w:ascii="Calibri" w:hAnsi="Calibri"/>
                <w:color w:val="auto"/>
                <w:shd w:val="clear" w:color="auto" w:fill="auto"/>
              </w:rPr>
            </w:pPr>
            <w:r>
              <w:rPr>
                <w:rFonts w:hint="eastAsia" w:ascii="Calibri" w:hAnsi="Calibri"/>
                <w:color w:val="auto"/>
                <w:shd w:val="clear" w:color="auto" w:fill="auto"/>
              </w:rPr>
              <w:t>无机杂质含量</w:t>
            </w:r>
          </w:p>
        </w:tc>
        <w:tc>
          <w:tcPr>
            <w:tcW w:w="1842" w:type="dxa"/>
          </w:tcPr>
          <w:p w14:paraId="43825309">
            <w:pPr>
              <w:pStyle w:val="43"/>
              <w:ind w:firstLine="0" w:firstLineChars="0"/>
              <w:rPr>
                <w:rFonts w:ascii="Calibri" w:hAnsi="Calibri"/>
                <w:color w:val="auto"/>
                <w:shd w:val="clear" w:color="auto" w:fill="auto"/>
              </w:rPr>
            </w:pPr>
            <w:r>
              <w:rPr>
                <w:rFonts w:hint="eastAsia" w:ascii="Calibri" w:hAnsi="Calibri"/>
                <w:color w:val="auto"/>
                <w:shd w:val="clear" w:color="auto" w:fill="auto"/>
              </w:rPr>
              <w:t>不应检出</w:t>
            </w:r>
          </w:p>
        </w:tc>
        <w:tc>
          <w:tcPr>
            <w:tcW w:w="1984" w:type="dxa"/>
          </w:tcPr>
          <w:p w14:paraId="79B84739">
            <w:pPr>
              <w:pStyle w:val="43"/>
              <w:ind w:firstLine="0" w:firstLineChars="0"/>
              <w:rPr>
                <w:rFonts w:ascii="Calibri" w:hAnsi="Calibri"/>
                <w:color w:val="auto"/>
                <w:shd w:val="clear" w:color="auto" w:fill="auto"/>
              </w:rPr>
            </w:pPr>
            <w:r>
              <w:rPr>
                <w:rFonts w:hint="eastAsia" w:ascii="Calibri" w:hAnsi="Calibri"/>
                <w:color w:val="auto"/>
                <w:shd w:val="clear" w:color="auto" w:fill="auto"/>
              </w:rPr>
              <w:t>0.01</w:t>
            </w:r>
          </w:p>
        </w:tc>
        <w:tc>
          <w:tcPr>
            <w:tcW w:w="1844" w:type="dxa"/>
          </w:tcPr>
          <w:p w14:paraId="2D91566F">
            <w:pPr>
              <w:pStyle w:val="43"/>
              <w:ind w:firstLine="0" w:firstLineChars="0"/>
              <w:rPr>
                <w:rFonts w:ascii="Calibri" w:hAnsi="Calibri"/>
                <w:color w:val="auto"/>
                <w:shd w:val="clear" w:color="auto" w:fill="auto"/>
              </w:rPr>
            </w:pPr>
            <w:r>
              <w:rPr>
                <w:rFonts w:hint="eastAsia" w:ascii="Calibri" w:hAnsi="Calibri"/>
                <w:color w:val="auto"/>
                <w:shd w:val="clear" w:color="auto" w:fill="auto"/>
              </w:rPr>
              <w:t>0.02</w:t>
            </w:r>
          </w:p>
        </w:tc>
      </w:tr>
      <w:tr w14:paraId="0DDC1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7" w:type="dxa"/>
            <w:vMerge w:val="restart"/>
          </w:tcPr>
          <w:p w14:paraId="678FF405">
            <w:pPr>
              <w:pStyle w:val="43"/>
              <w:ind w:firstLine="0" w:firstLineChars="0"/>
              <w:rPr>
                <w:rFonts w:ascii="Calibri" w:hAnsi="Calibri"/>
                <w:color w:val="auto"/>
                <w:highlight w:val="none"/>
                <w:shd w:val="clear" w:color="auto" w:fill="auto"/>
              </w:rPr>
            </w:pPr>
            <w:r>
              <w:rPr>
                <w:rFonts w:hint="eastAsia" w:ascii="Calibri" w:hAnsi="Calibri"/>
                <w:color w:val="auto"/>
                <w:highlight w:val="none"/>
                <w:shd w:val="clear" w:color="auto" w:fill="auto"/>
              </w:rPr>
              <w:t>碎米/% ≤</w:t>
            </w:r>
          </w:p>
        </w:tc>
        <w:tc>
          <w:tcPr>
            <w:tcW w:w="1532" w:type="dxa"/>
          </w:tcPr>
          <w:p w14:paraId="189143E1">
            <w:pPr>
              <w:pStyle w:val="43"/>
              <w:ind w:firstLine="0" w:firstLineChars="0"/>
              <w:rPr>
                <w:rFonts w:ascii="Calibri" w:hAnsi="Calibri"/>
                <w:color w:val="auto"/>
                <w:highlight w:val="none"/>
                <w:shd w:val="clear" w:color="auto" w:fill="auto"/>
              </w:rPr>
            </w:pPr>
            <w:r>
              <w:rPr>
                <w:rFonts w:hint="eastAsia" w:ascii="Calibri" w:hAnsi="Calibri"/>
                <w:color w:val="auto"/>
                <w:highlight w:val="none"/>
                <w:shd w:val="clear" w:color="auto" w:fill="auto"/>
              </w:rPr>
              <w:t>总量</w:t>
            </w:r>
          </w:p>
        </w:tc>
        <w:tc>
          <w:tcPr>
            <w:tcW w:w="1842" w:type="dxa"/>
          </w:tcPr>
          <w:p w14:paraId="17E5BCF9">
            <w:pPr>
              <w:pStyle w:val="43"/>
              <w:ind w:firstLine="0" w:firstLineChars="0"/>
              <w:rPr>
                <w:rFonts w:ascii="Calibri" w:hAnsi="Calibri"/>
                <w:color w:val="auto"/>
                <w:highlight w:val="none"/>
                <w:shd w:val="clear" w:color="auto" w:fill="auto"/>
              </w:rPr>
            </w:pPr>
            <w:r>
              <w:rPr>
                <w:rFonts w:hint="eastAsia" w:ascii="Calibri" w:hAnsi="Calibri"/>
                <w:color w:val="auto"/>
                <w:highlight w:val="none"/>
                <w:shd w:val="clear" w:color="auto" w:fill="auto"/>
              </w:rPr>
              <w:t>7.0</w:t>
            </w:r>
          </w:p>
        </w:tc>
        <w:tc>
          <w:tcPr>
            <w:tcW w:w="1984" w:type="dxa"/>
          </w:tcPr>
          <w:p w14:paraId="638F52B4">
            <w:pPr>
              <w:pStyle w:val="43"/>
              <w:ind w:firstLine="0" w:firstLineChars="0"/>
              <w:rPr>
                <w:rFonts w:ascii="Calibri" w:hAnsi="Calibri"/>
                <w:color w:val="auto"/>
                <w:highlight w:val="none"/>
                <w:shd w:val="clear" w:color="auto" w:fill="auto"/>
              </w:rPr>
            </w:pPr>
            <w:r>
              <w:rPr>
                <w:rFonts w:hint="eastAsia" w:ascii="Calibri" w:hAnsi="Calibri"/>
                <w:color w:val="auto"/>
                <w:highlight w:val="none"/>
                <w:shd w:val="clear" w:color="auto" w:fill="auto"/>
              </w:rPr>
              <w:t>10.0</w:t>
            </w:r>
          </w:p>
        </w:tc>
        <w:tc>
          <w:tcPr>
            <w:tcW w:w="1844" w:type="dxa"/>
          </w:tcPr>
          <w:p w14:paraId="0C64B0B7">
            <w:pPr>
              <w:pStyle w:val="43"/>
              <w:ind w:firstLine="0" w:firstLineChars="0"/>
              <w:rPr>
                <w:rFonts w:ascii="Calibri" w:hAnsi="Calibri"/>
                <w:color w:val="auto"/>
                <w:highlight w:val="none"/>
                <w:shd w:val="clear" w:color="auto" w:fill="auto"/>
              </w:rPr>
            </w:pPr>
            <w:r>
              <w:rPr>
                <w:rFonts w:hint="eastAsia" w:ascii="Calibri" w:hAnsi="Calibri"/>
                <w:color w:val="auto"/>
                <w:highlight w:val="none"/>
                <w:shd w:val="clear" w:color="auto" w:fill="auto"/>
              </w:rPr>
              <w:t>13.0</w:t>
            </w:r>
          </w:p>
        </w:tc>
      </w:tr>
      <w:tr w14:paraId="7C3F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7" w:type="dxa"/>
            <w:vMerge w:val="continue"/>
          </w:tcPr>
          <w:p w14:paraId="2AD7D1F8">
            <w:pPr>
              <w:pStyle w:val="43"/>
              <w:ind w:firstLine="0" w:firstLineChars="0"/>
              <w:rPr>
                <w:rFonts w:ascii="Calibri" w:hAnsi="Calibri"/>
                <w:color w:val="auto"/>
                <w:shd w:val="clear" w:color="auto" w:fill="auto"/>
              </w:rPr>
            </w:pPr>
          </w:p>
        </w:tc>
        <w:tc>
          <w:tcPr>
            <w:tcW w:w="1532" w:type="dxa"/>
          </w:tcPr>
          <w:p w14:paraId="349ECE18">
            <w:pPr>
              <w:pStyle w:val="43"/>
              <w:ind w:firstLine="0" w:firstLineChars="0"/>
              <w:rPr>
                <w:rFonts w:ascii="Calibri" w:hAnsi="Calibri"/>
                <w:color w:val="auto"/>
                <w:shd w:val="clear" w:color="auto" w:fill="auto"/>
              </w:rPr>
            </w:pPr>
            <w:r>
              <w:rPr>
                <w:rFonts w:hint="eastAsia" w:ascii="Calibri" w:hAnsi="Calibri"/>
                <w:color w:val="auto"/>
                <w:shd w:val="clear" w:color="auto" w:fill="auto"/>
              </w:rPr>
              <w:t>小碎米</w:t>
            </w:r>
          </w:p>
        </w:tc>
        <w:tc>
          <w:tcPr>
            <w:tcW w:w="1842" w:type="dxa"/>
          </w:tcPr>
          <w:p w14:paraId="4B552EA2">
            <w:pPr>
              <w:pStyle w:val="43"/>
              <w:ind w:firstLine="0" w:firstLineChars="0"/>
              <w:rPr>
                <w:rFonts w:ascii="Calibri" w:hAnsi="Calibri"/>
                <w:color w:val="auto"/>
                <w:shd w:val="clear" w:color="auto" w:fill="auto"/>
              </w:rPr>
            </w:pPr>
            <w:r>
              <w:rPr>
                <w:rFonts w:hint="eastAsia" w:ascii="Calibri" w:hAnsi="Calibri"/>
                <w:color w:val="auto"/>
                <w:shd w:val="clear" w:color="auto" w:fill="auto"/>
              </w:rPr>
              <w:t>0.1</w:t>
            </w:r>
          </w:p>
        </w:tc>
        <w:tc>
          <w:tcPr>
            <w:tcW w:w="1984" w:type="dxa"/>
          </w:tcPr>
          <w:p w14:paraId="1DEAD45F">
            <w:pPr>
              <w:pStyle w:val="43"/>
              <w:ind w:firstLine="0" w:firstLineChars="0"/>
              <w:rPr>
                <w:rFonts w:ascii="Calibri" w:hAnsi="Calibri"/>
                <w:color w:val="auto"/>
                <w:shd w:val="clear" w:color="auto" w:fill="auto"/>
              </w:rPr>
            </w:pPr>
            <w:r>
              <w:rPr>
                <w:rFonts w:hint="eastAsia" w:ascii="Calibri" w:hAnsi="Calibri"/>
                <w:color w:val="auto"/>
                <w:shd w:val="clear" w:color="auto" w:fill="auto"/>
              </w:rPr>
              <w:t>0.2</w:t>
            </w:r>
          </w:p>
        </w:tc>
        <w:tc>
          <w:tcPr>
            <w:tcW w:w="1844" w:type="dxa"/>
          </w:tcPr>
          <w:p w14:paraId="54E1F9FB">
            <w:pPr>
              <w:pStyle w:val="43"/>
              <w:ind w:firstLine="0" w:firstLineChars="0"/>
              <w:rPr>
                <w:rFonts w:ascii="Calibri" w:hAnsi="Calibri"/>
                <w:color w:val="auto"/>
                <w:shd w:val="clear" w:color="auto" w:fill="auto"/>
              </w:rPr>
            </w:pPr>
            <w:r>
              <w:rPr>
                <w:rFonts w:hint="eastAsia" w:ascii="Calibri" w:hAnsi="Calibri"/>
                <w:color w:val="auto"/>
                <w:shd w:val="clear" w:color="auto" w:fill="auto"/>
              </w:rPr>
              <w:t>0.5</w:t>
            </w:r>
          </w:p>
        </w:tc>
      </w:tr>
      <w:tr w14:paraId="2021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59" w:type="dxa"/>
            <w:gridSpan w:val="5"/>
          </w:tcPr>
          <w:p w14:paraId="6A858A8C">
            <w:pPr>
              <w:pStyle w:val="43"/>
              <w:ind w:firstLine="0" w:firstLineChars="0"/>
              <w:rPr>
                <w:rFonts w:ascii="Calibri" w:hAnsi="Calibri"/>
              </w:rPr>
            </w:pPr>
            <w:r>
              <w:rPr>
                <w:rFonts w:hint="eastAsia" w:ascii="Calibri" w:hAnsi="Calibri"/>
              </w:rPr>
              <w:t>注</w:t>
            </w:r>
            <w:r>
              <w:rPr>
                <w:rFonts w:ascii="Calibri" w:hAnsi="Calibri"/>
              </w:rPr>
              <w:t>:</w:t>
            </w:r>
            <w:r>
              <w:rPr>
                <w:rFonts w:hint="eastAsia" w:ascii="Calibri" w:hAnsi="Calibri"/>
              </w:rPr>
              <w:t>精碾为背沟基本无皮或有皮不成线，米胚和粒面皮层去净的占</w:t>
            </w:r>
            <w:r>
              <w:rPr>
                <w:rFonts w:ascii="Calibri" w:hAnsi="Calibri"/>
              </w:rPr>
              <w:t>85%</w:t>
            </w:r>
            <w:r>
              <w:rPr>
                <w:rFonts w:hint="eastAsia" w:ascii="Calibri" w:hAnsi="Calibri"/>
              </w:rPr>
              <w:t>以上。</w:t>
            </w:r>
          </w:p>
        </w:tc>
      </w:tr>
    </w:tbl>
    <w:p w14:paraId="76366661">
      <w:pPr>
        <w:pStyle w:val="56"/>
      </w:pPr>
      <w:bookmarkStart w:id="40" w:name="_Toc31706"/>
      <w:r>
        <w:rPr>
          <w:rFonts w:hint="eastAsia"/>
        </w:rPr>
        <w:t>感官指标</w:t>
      </w:r>
      <w:bookmarkEnd w:id="40"/>
    </w:p>
    <w:p w14:paraId="07CB544A">
      <w:pPr>
        <w:pStyle w:val="43"/>
      </w:pPr>
      <w:r>
        <w:rPr>
          <w:rFonts w:hint="eastAsia"/>
        </w:rPr>
        <w:t>（1）应有千塘稻米特有的清香气味。</w:t>
      </w:r>
    </w:p>
    <w:p w14:paraId="1E6D3CE7">
      <w:pPr>
        <w:pStyle w:val="43"/>
      </w:pPr>
      <w:r>
        <w:rPr>
          <w:rFonts w:hint="eastAsia"/>
        </w:rPr>
        <w:t>（2）米粒应半透明或透明，色泽青白有光泽。</w:t>
      </w:r>
    </w:p>
    <w:p w14:paraId="77842D3C">
      <w:pPr>
        <w:pStyle w:val="43"/>
      </w:pPr>
      <w:r>
        <w:rPr>
          <w:rFonts w:hint="eastAsia"/>
        </w:rPr>
        <w:t>（3）熟制后，饭粒应饱满完整、明亮有光泽，带有米饭特有的米香或清香，滋味清甜，口感润滑、软硬适中有弹性。</w:t>
      </w:r>
    </w:p>
    <w:p w14:paraId="04A79DE0">
      <w:pPr>
        <w:pStyle w:val="56"/>
      </w:pPr>
      <w:bookmarkStart w:id="41" w:name="_Toc32747"/>
      <w:r>
        <w:rPr>
          <w:rFonts w:hint="eastAsia"/>
        </w:rPr>
        <w:t>理化指标</w:t>
      </w:r>
      <w:bookmarkEnd w:id="41"/>
    </w:p>
    <w:p w14:paraId="2D605EF0">
      <w:pPr>
        <w:pStyle w:val="43"/>
      </w:pPr>
      <w:r>
        <w:rPr>
          <w:rFonts w:hint="eastAsia"/>
        </w:rPr>
        <w:t>理化指标见表2.</w:t>
      </w:r>
    </w:p>
    <w:p w14:paraId="6526D861">
      <w:pPr>
        <w:pStyle w:val="43"/>
        <w:jc w:val="center"/>
      </w:pPr>
      <w:r>
        <w:rPr>
          <w:rFonts w:hint="eastAsia"/>
        </w:rPr>
        <w:t>表2理化指标</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9"/>
        <w:gridCol w:w="1767"/>
        <w:gridCol w:w="1701"/>
        <w:gridCol w:w="1559"/>
      </w:tblGrid>
      <w:tr w14:paraId="57EFB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Merge w:val="restart"/>
          </w:tcPr>
          <w:p w14:paraId="1E47EE1D">
            <w:pPr>
              <w:pStyle w:val="43"/>
              <w:ind w:firstLine="0" w:firstLineChars="0"/>
              <w:rPr>
                <w:rFonts w:ascii="Calibri" w:hAnsi="Calibri"/>
              </w:rPr>
            </w:pPr>
            <w:r>
              <w:rPr>
                <w:rFonts w:hint="eastAsia" w:ascii="Calibri" w:hAnsi="Calibri"/>
              </w:rPr>
              <w:t>项目</w:t>
            </w:r>
          </w:p>
        </w:tc>
        <w:tc>
          <w:tcPr>
            <w:tcW w:w="5027" w:type="dxa"/>
            <w:gridSpan w:val="3"/>
          </w:tcPr>
          <w:p w14:paraId="78B9B877">
            <w:pPr>
              <w:pStyle w:val="43"/>
              <w:ind w:firstLine="0" w:firstLineChars="0"/>
              <w:rPr>
                <w:rFonts w:ascii="Calibri" w:hAnsi="Calibri"/>
              </w:rPr>
            </w:pPr>
            <w:r>
              <w:rPr>
                <w:rFonts w:hint="eastAsia" w:ascii="Calibri" w:hAnsi="Calibri"/>
              </w:rPr>
              <w:t>指标</w:t>
            </w:r>
          </w:p>
        </w:tc>
      </w:tr>
      <w:tr w14:paraId="4096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Merge w:val="continue"/>
          </w:tcPr>
          <w:p w14:paraId="2238E5E7">
            <w:pPr>
              <w:pStyle w:val="43"/>
              <w:ind w:firstLine="0" w:firstLineChars="0"/>
              <w:rPr>
                <w:rFonts w:ascii="Calibri" w:hAnsi="Calibri"/>
              </w:rPr>
            </w:pPr>
          </w:p>
        </w:tc>
        <w:tc>
          <w:tcPr>
            <w:tcW w:w="1767" w:type="dxa"/>
          </w:tcPr>
          <w:p w14:paraId="7BD8987F">
            <w:pPr>
              <w:pStyle w:val="43"/>
              <w:ind w:firstLine="0" w:firstLineChars="0"/>
              <w:rPr>
                <w:rFonts w:ascii="Calibri" w:hAnsi="Calibri"/>
              </w:rPr>
            </w:pPr>
            <w:r>
              <w:rPr>
                <w:rFonts w:hint="eastAsia" w:ascii="Calibri" w:hAnsi="Calibri"/>
              </w:rPr>
              <w:t>特等</w:t>
            </w:r>
          </w:p>
        </w:tc>
        <w:tc>
          <w:tcPr>
            <w:tcW w:w="1701" w:type="dxa"/>
          </w:tcPr>
          <w:p w14:paraId="3F5F2836">
            <w:pPr>
              <w:pStyle w:val="43"/>
              <w:ind w:firstLine="0" w:firstLineChars="0"/>
              <w:rPr>
                <w:rFonts w:ascii="Calibri" w:hAnsi="Calibri"/>
              </w:rPr>
            </w:pPr>
            <w:r>
              <w:rPr>
                <w:rFonts w:hint="eastAsia" w:ascii="Calibri" w:hAnsi="Calibri"/>
              </w:rPr>
              <w:t>优质一等</w:t>
            </w:r>
          </w:p>
        </w:tc>
        <w:tc>
          <w:tcPr>
            <w:tcW w:w="1559" w:type="dxa"/>
          </w:tcPr>
          <w:p w14:paraId="354C778E">
            <w:pPr>
              <w:pStyle w:val="43"/>
              <w:ind w:firstLine="0" w:firstLineChars="0"/>
              <w:rPr>
                <w:rFonts w:ascii="Calibri" w:hAnsi="Calibri"/>
              </w:rPr>
            </w:pPr>
            <w:r>
              <w:rPr>
                <w:rFonts w:hint="eastAsia" w:ascii="Calibri" w:hAnsi="Calibri"/>
              </w:rPr>
              <w:t>优质二等</w:t>
            </w:r>
          </w:p>
        </w:tc>
      </w:tr>
      <w:tr w14:paraId="3AB66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tcPr>
          <w:p w14:paraId="20985024">
            <w:pPr>
              <w:pStyle w:val="43"/>
              <w:ind w:firstLine="0" w:firstLineChars="0"/>
              <w:rPr>
                <w:rFonts w:ascii="Calibri" w:hAnsi="Calibri"/>
              </w:rPr>
            </w:pPr>
            <w:r>
              <w:rPr>
                <w:rFonts w:hint="eastAsia" w:ascii="Calibri" w:hAnsi="Calibri"/>
              </w:rPr>
              <w:t>水分/%  ≤</w:t>
            </w:r>
          </w:p>
        </w:tc>
        <w:tc>
          <w:tcPr>
            <w:tcW w:w="5027" w:type="dxa"/>
            <w:gridSpan w:val="3"/>
          </w:tcPr>
          <w:p w14:paraId="3162E9F7">
            <w:pPr>
              <w:pStyle w:val="43"/>
              <w:ind w:firstLine="0" w:firstLineChars="0"/>
              <w:rPr>
                <w:rFonts w:ascii="Calibri" w:hAnsi="Calibri"/>
              </w:rPr>
            </w:pPr>
            <w:r>
              <w:rPr>
                <w:rFonts w:hint="eastAsia" w:ascii="Calibri" w:hAnsi="Calibri"/>
              </w:rPr>
              <w:t>15.5</w:t>
            </w:r>
          </w:p>
        </w:tc>
      </w:tr>
      <w:tr w14:paraId="43ED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tcPr>
          <w:p w14:paraId="6978FB42">
            <w:pPr>
              <w:pStyle w:val="43"/>
              <w:ind w:firstLine="0" w:firstLineChars="0"/>
              <w:rPr>
                <w:rFonts w:ascii="Calibri" w:hAnsi="Calibri"/>
              </w:rPr>
            </w:pPr>
            <w:r>
              <w:rPr>
                <w:rFonts w:hint="eastAsia" w:ascii="Calibri" w:hAnsi="Calibri"/>
              </w:rPr>
              <w:t>垩白度/%  ≤</w:t>
            </w:r>
          </w:p>
        </w:tc>
        <w:tc>
          <w:tcPr>
            <w:tcW w:w="1767" w:type="dxa"/>
          </w:tcPr>
          <w:p w14:paraId="614BFDE6">
            <w:pPr>
              <w:pStyle w:val="43"/>
              <w:ind w:firstLine="0" w:firstLineChars="0"/>
              <w:rPr>
                <w:rFonts w:ascii="Calibri" w:hAnsi="Calibri"/>
              </w:rPr>
            </w:pPr>
            <w:r>
              <w:rPr>
                <w:rFonts w:hint="eastAsia" w:ascii="Calibri" w:hAnsi="Calibri"/>
              </w:rPr>
              <w:t>2</w:t>
            </w:r>
          </w:p>
        </w:tc>
        <w:tc>
          <w:tcPr>
            <w:tcW w:w="1701" w:type="dxa"/>
          </w:tcPr>
          <w:p w14:paraId="3B58421D">
            <w:pPr>
              <w:pStyle w:val="43"/>
              <w:ind w:firstLine="0" w:firstLineChars="0"/>
              <w:rPr>
                <w:rFonts w:ascii="Calibri" w:hAnsi="Calibri"/>
              </w:rPr>
            </w:pPr>
            <w:r>
              <w:rPr>
                <w:rFonts w:hint="eastAsia" w:ascii="Calibri" w:hAnsi="Calibri"/>
              </w:rPr>
              <w:t>4</w:t>
            </w:r>
          </w:p>
        </w:tc>
        <w:tc>
          <w:tcPr>
            <w:tcW w:w="1559" w:type="dxa"/>
          </w:tcPr>
          <w:p w14:paraId="1E9DE424">
            <w:pPr>
              <w:pStyle w:val="43"/>
              <w:ind w:firstLine="0" w:firstLineChars="0"/>
              <w:rPr>
                <w:rFonts w:ascii="Calibri" w:hAnsi="Calibri"/>
                <w:highlight w:val="none"/>
              </w:rPr>
            </w:pPr>
            <w:r>
              <w:rPr>
                <w:rFonts w:hint="eastAsia" w:ascii="Calibri" w:hAnsi="Calibri"/>
                <w:highlight w:val="none"/>
                <w:shd w:val="clear"/>
              </w:rPr>
              <w:t>5</w:t>
            </w:r>
          </w:p>
        </w:tc>
      </w:tr>
      <w:tr w14:paraId="0FB9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tcPr>
          <w:p w14:paraId="79E691E9">
            <w:pPr>
              <w:pStyle w:val="43"/>
              <w:ind w:firstLine="0" w:firstLineChars="0"/>
              <w:rPr>
                <w:rFonts w:ascii="Calibri" w:hAnsi="Calibri"/>
              </w:rPr>
            </w:pPr>
            <w:r>
              <w:rPr>
                <w:rFonts w:hint="eastAsia" w:ascii="Calibri" w:hAnsi="Calibri"/>
              </w:rPr>
              <w:t>直链淀粉（干基）/%  ≥</w:t>
            </w:r>
          </w:p>
        </w:tc>
        <w:tc>
          <w:tcPr>
            <w:tcW w:w="5027" w:type="dxa"/>
            <w:gridSpan w:val="3"/>
          </w:tcPr>
          <w:p w14:paraId="59FAD974">
            <w:pPr>
              <w:pStyle w:val="43"/>
              <w:ind w:firstLine="0" w:firstLineChars="0"/>
              <w:rPr>
                <w:rFonts w:ascii="Calibri" w:hAnsi="Calibri"/>
              </w:rPr>
            </w:pPr>
            <w:r>
              <w:rPr>
                <w:rFonts w:hint="eastAsia" w:ascii="Calibri" w:hAnsi="Calibri"/>
              </w:rPr>
              <w:t>15~20</w:t>
            </w:r>
          </w:p>
        </w:tc>
      </w:tr>
      <w:tr w14:paraId="0BCB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tcPr>
          <w:p w14:paraId="6CFB85E8">
            <w:pPr>
              <w:pStyle w:val="43"/>
              <w:ind w:firstLine="0" w:firstLineChars="0"/>
              <w:rPr>
                <w:rFonts w:ascii="Calibri" w:hAnsi="Calibri"/>
              </w:rPr>
            </w:pPr>
            <w:r>
              <w:rPr>
                <w:rFonts w:hint="eastAsia" w:ascii="Calibri" w:hAnsi="Calibri"/>
              </w:rPr>
              <w:t>胶稠度/mm  ≥</w:t>
            </w:r>
          </w:p>
        </w:tc>
        <w:tc>
          <w:tcPr>
            <w:tcW w:w="1767" w:type="dxa"/>
          </w:tcPr>
          <w:p w14:paraId="0DEB027E">
            <w:pPr>
              <w:pStyle w:val="43"/>
              <w:ind w:firstLine="0" w:firstLineChars="0"/>
              <w:rPr>
                <w:rFonts w:ascii="Calibri" w:hAnsi="Calibri"/>
                <w:highlight w:val="none"/>
              </w:rPr>
            </w:pPr>
            <w:r>
              <w:rPr>
                <w:rFonts w:hint="eastAsia" w:ascii="Calibri" w:hAnsi="Calibri"/>
                <w:color w:val="auto"/>
                <w:highlight w:val="none"/>
              </w:rPr>
              <w:t>75</w:t>
            </w:r>
          </w:p>
        </w:tc>
        <w:tc>
          <w:tcPr>
            <w:tcW w:w="1701" w:type="dxa"/>
          </w:tcPr>
          <w:p w14:paraId="53A64CAD">
            <w:pPr>
              <w:pStyle w:val="43"/>
              <w:ind w:firstLine="0" w:firstLineChars="0"/>
              <w:rPr>
                <w:rFonts w:ascii="Calibri" w:hAnsi="Calibri"/>
                <w:highlight w:val="none"/>
              </w:rPr>
            </w:pPr>
            <w:r>
              <w:rPr>
                <w:rFonts w:hint="eastAsia" w:ascii="Calibri" w:hAnsi="Calibri"/>
                <w:highlight w:val="none"/>
              </w:rPr>
              <w:t>70</w:t>
            </w:r>
          </w:p>
        </w:tc>
        <w:tc>
          <w:tcPr>
            <w:tcW w:w="1559" w:type="dxa"/>
          </w:tcPr>
          <w:p w14:paraId="307B25F8">
            <w:pPr>
              <w:pStyle w:val="43"/>
              <w:ind w:firstLine="0" w:firstLineChars="0"/>
              <w:rPr>
                <w:rFonts w:ascii="Calibri" w:hAnsi="Calibri"/>
              </w:rPr>
            </w:pPr>
            <w:r>
              <w:rPr>
                <w:rFonts w:hint="eastAsia" w:ascii="Calibri" w:hAnsi="Calibri"/>
              </w:rPr>
              <w:t>65</w:t>
            </w:r>
          </w:p>
        </w:tc>
      </w:tr>
    </w:tbl>
    <w:p w14:paraId="12F6AD0D">
      <w:pPr>
        <w:pStyle w:val="56"/>
      </w:pPr>
      <w:bookmarkStart w:id="42" w:name="_Toc29421"/>
      <w:r>
        <w:rPr>
          <w:rFonts w:hint="eastAsia"/>
        </w:rPr>
        <w:t>卫生标准</w:t>
      </w:r>
      <w:bookmarkEnd w:id="42"/>
    </w:p>
    <w:p w14:paraId="1C59978D">
      <w:pPr>
        <w:pStyle w:val="43"/>
      </w:pPr>
      <w:r>
        <w:rPr>
          <w:rFonts w:hint="eastAsia"/>
        </w:rPr>
        <w:t>应符合GB2762、GB2763的有关规定。</w:t>
      </w:r>
    </w:p>
    <w:p w14:paraId="56ABF9BB">
      <w:pPr>
        <w:pStyle w:val="56"/>
      </w:pPr>
      <w:bookmarkStart w:id="43" w:name="_Toc3642"/>
      <w:r>
        <w:rPr>
          <w:rFonts w:hint="eastAsia"/>
        </w:rPr>
        <w:t>加工企业质量管理</w:t>
      </w:r>
      <w:bookmarkEnd w:id="43"/>
    </w:p>
    <w:p w14:paraId="73D6E17B">
      <w:pPr>
        <w:pStyle w:val="65"/>
      </w:pPr>
      <w:r>
        <w:rPr>
          <w:rFonts w:hint="eastAsia"/>
        </w:rPr>
        <w:t>监控生产加工过程</w:t>
      </w:r>
    </w:p>
    <w:p w14:paraId="159524EC">
      <w:pPr>
        <w:pStyle w:val="43"/>
      </w:pPr>
      <w:r>
        <w:rPr>
          <w:rFonts w:hint="eastAsia"/>
        </w:rPr>
        <w:t>进行检验控制，加工厂应有适应的检验(化验)室和检验设备，检验人员应对稻谷进厂、加工直至成品大米出厂全过程进行监督检查，重点做好稻谷验收、半成品检验应有原始记录，原始记录的格式应规范、填写认真、字迹清楚、各项原始记录按规定保存。</w:t>
      </w:r>
    </w:p>
    <w:p w14:paraId="4E35D5DC">
      <w:pPr>
        <w:pStyle w:val="65"/>
      </w:pPr>
      <w:r>
        <w:rPr>
          <w:rFonts w:hint="eastAsia"/>
        </w:rPr>
        <w:t>管理制度</w:t>
      </w:r>
    </w:p>
    <w:p w14:paraId="1E986D94">
      <w:pPr>
        <w:pStyle w:val="43"/>
      </w:pPr>
      <w:r>
        <w:rPr>
          <w:rFonts w:hint="eastAsia"/>
        </w:rPr>
        <w:t>加工企业应制定质量方针，各个岗位应有完善的管理制度，即从稻谷购入到成品大米出厂的质量管理制度，对各项制度应保证运行有效。</w:t>
      </w:r>
    </w:p>
    <w:p w14:paraId="2EEB6056">
      <w:pPr>
        <w:pStyle w:val="65"/>
      </w:pPr>
      <w:r>
        <w:rPr>
          <w:rFonts w:hint="eastAsia"/>
        </w:rPr>
        <w:t>档案及记录</w:t>
      </w:r>
    </w:p>
    <w:p w14:paraId="04CA3426">
      <w:pPr>
        <w:pStyle w:val="43"/>
      </w:pPr>
      <w:r>
        <w:rPr>
          <w:rFonts w:hint="eastAsia"/>
        </w:rPr>
        <w:t>人员健康、设备、稻谷、成品大米档案，稻谷产地环境和生产技术档案，生产车间的交接班记录，检验室计量器具档案和使用记录，检验报告及记录等都需具备并妥善保存。</w:t>
      </w:r>
    </w:p>
    <w:p w14:paraId="6863F6BD">
      <w:pPr>
        <w:pStyle w:val="65"/>
      </w:pPr>
      <w:r>
        <w:rPr>
          <w:rFonts w:hint="eastAsia"/>
        </w:rPr>
        <w:t>检验控制</w:t>
      </w:r>
    </w:p>
    <w:p w14:paraId="5C3F4695">
      <w:pPr>
        <w:pStyle w:val="43"/>
      </w:pPr>
      <w:r>
        <w:rPr>
          <w:rFonts w:hint="eastAsia"/>
        </w:rPr>
        <w:t>应进行稻谷、成品大米加工质量的检验，对成品大米卫生指标的检验应由省级以上认可的检验机构承担。</w:t>
      </w:r>
    </w:p>
    <w:p w14:paraId="0A599C8A">
      <w:pPr>
        <w:pStyle w:val="65"/>
      </w:pPr>
      <w:r>
        <w:rPr>
          <w:rFonts w:hint="eastAsia"/>
        </w:rPr>
        <w:t>制度实施</w:t>
      </w:r>
    </w:p>
    <w:p w14:paraId="0F705A58">
      <w:pPr>
        <w:pStyle w:val="43"/>
      </w:pPr>
      <w:r>
        <w:rPr>
          <w:rFonts w:hint="eastAsia"/>
        </w:rPr>
        <w:t>检查加工企业应定期评审管理制度实施情况，对生产车间每月进行一次制度实施检查，对成品库每月进行一次制度实施检查，在原粮购入旺季每周进行一次稻谷购入制度检查，以上的检查应有记录并存档。</w:t>
      </w:r>
    </w:p>
    <w:p w14:paraId="7DDD7D16">
      <w:pPr>
        <w:pStyle w:val="56"/>
      </w:pPr>
      <w:bookmarkStart w:id="44" w:name="_Toc18821"/>
      <w:r>
        <w:rPr>
          <w:rFonts w:hint="eastAsia"/>
        </w:rPr>
        <w:t>检验方法</w:t>
      </w:r>
      <w:bookmarkEnd w:id="44"/>
    </w:p>
    <w:p w14:paraId="51976203">
      <w:pPr>
        <w:pStyle w:val="65"/>
      </w:pPr>
      <w:r>
        <w:rPr>
          <w:rFonts w:hint="eastAsia"/>
        </w:rPr>
        <w:t>加工精度</w:t>
      </w:r>
    </w:p>
    <w:p w14:paraId="3797DBB1">
      <w:pPr>
        <w:pStyle w:val="43"/>
      </w:pPr>
      <w:r>
        <w:rPr>
          <w:rFonts w:hint="eastAsia"/>
        </w:rPr>
        <w:t>按GB/T5502执行。</w:t>
      </w:r>
    </w:p>
    <w:p w14:paraId="57D3DD88">
      <w:pPr>
        <w:pStyle w:val="65"/>
      </w:pPr>
      <w:r>
        <w:rPr>
          <w:rFonts w:hint="eastAsia"/>
        </w:rPr>
        <w:t>黄粒米</w:t>
      </w:r>
    </w:p>
    <w:p w14:paraId="75E68823">
      <w:pPr>
        <w:pStyle w:val="43"/>
      </w:pPr>
      <w:r>
        <w:rPr>
          <w:rFonts w:hint="eastAsia"/>
        </w:rPr>
        <w:t>按</w:t>
      </w:r>
      <w:r>
        <w:t>GB/T 35881</w:t>
      </w:r>
      <w:r>
        <w:rPr>
          <w:rFonts w:hint="eastAsia"/>
        </w:rPr>
        <w:t xml:space="preserve"> 执行。</w:t>
      </w:r>
    </w:p>
    <w:p w14:paraId="2801AFD6">
      <w:pPr>
        <w:pStyle w:val="65"/>
      </w:pPr>
      <w:r>
        <w:rPr>
          <w:rFonts w:hint="eastAsia"/>
        </w:rPr>
        <w:t>杂质、不完善粒</w:t>
      </w:r>
    </w:p>
    <w:p w14:paraId="63C367CD">
      <w:pPr>
        <w:pStyle w:val="43"/>
      </w:pPr>
      <w:r>
        <w:rPr>
          <w:rFonts w:hint="eastAsia"/>
        </w:rPr>
        <w:t>按GB/T5494执行。</w:t>
      </w:r>
    </w:p>
    <w:p w14:paraId="5A72131D">
      <w:pPr>
        <w:pStyle w:val="65"/>
      </w:pPr>
      <w:r>
        <w:rPr>
          <w:rFonts w:hint="eastAsia"/>
        </w:rPr>
        <w:t>碎米</w:t>
      </w:r>
    </w:p>
    <w:p w14:paraId="65543219">
      <w:pPr>
        <w:pStyle w:val="43"/>
      </w:pPr>
      <w:r>
        <w:rPr>
          <w:rFonts w:hint="eastAsia"/>
        </w:rPr>
        <w:t>按GB/T5503执行。</w:t>
      </w:r>
    </w:p>
    <w:p w14:paraId="6A12DEDE">
      <w:pPr>
        <w:pStyle w:val="65"/>
      </w:pPr>
      <w:r>
        <w:rPr>
          <w:rFonts w:hint="eastAsia"/>
        </w:rPr>
        <w:t>感官要求</w:t>
      </w:r>
    </w:p>
    <w:p w14:paraId="70FCD92A">
      <w:pPr>
        <w:pStyle w:val="43"/>
      </w:pPr>
      <w:r>
        <w:rPr>
          <w:rFonts w:hint="eastAsia"/>
        </w:rPr>
        <w:t>按GB/T5492执行。</w:t>
      </w:r>
    </w:p>
    <w:p w14:paraId="2F241D64">
      <w:pPr>
        <w:pStyle w:val="65"/>
      </w:pPr>
      <w:r>
        <w:rPr>
          <w:rFonts w:hint="eastAsia"/>
        </w:rPr>
        <w:t>水分</w:t>
      </w:r>
    </w:p>
    <w:p w14:paraId="178845FE">
      <w:pPr>
        <w:pStyle w:val="43"/>
      </w:pPr>
      <w:r>
        <w:rPr>
          <w:rFonts w:hint="eastAsia"/>
        </w:rPr>
        <w:t>按GB5009.3执行。</w:t>
      </w:r>
    </w:p>
    <w:p w14:paraId="61F1F1BF">
      <w:pPr>
        <w:pStyle w:val="65"/>
      </w:pPr>
      <w:r>
        <w:rPr>
          <w:rFonts w:hint="eastAsia"/>
        </w:rPr>
        <w:t>垩白度</w:t>
      </w:r>
    </w:p>
    <w:p w14:paraId="0538F44D">
      <w:pPr>
        <w:pStyle w:val="43"/>
      </w:pPr>
      <w:r>
        <w:rPr>
          <w:rFonts w:hint="eastAsia"/>
        </w:rPr>
        <w:t>按GB/T1354执行。</w:t>
      </w:r>
    </w:p>
    <w:p w14:paraId="65469C2D">
      <w:pPr>
        <w:pStyle w:val="65"/>
      </w:pPr>
      <w:r>
        <w:rPr>
          <w:rFonts w:hint="eastAsia"/>
        </w:rPr>
        <w:t>直链淀粉</w:t>
      </w:r>
    </w:p>
    <w:p w14:paraId="60E2623B">
      <w:pPr>
        <w:pStyle w:val="43"/>
      </w:pPr>
      <w:r>
        <w:rPr>
          <w:rFonts w:hint="eastAsia"/>
        </w:rPr>
        <w:t>按GB/T15683执行。</w:t>
      </w:r>
    </w:p>
    <w:p w14:paraId="67DF633F">
      <w:pPr>
        <w:pStyle w:val="65"/>
      </w:pPr>
      <w:r>
        <w:rPr>
          <w:rFonts w:hint="eastAsia"/>
        </w:rPr>
        <w:t>胶稠度</w:t>
      </w:r>
    </w:p>
    <w:p w14:paraId="3C51BBE9">
      <w:pPr>
        <w:pStyle w:val="43"/>
      </w:pPr>
      <w:r>
        <w:rPr>
          <w:rFonts w:hint="eastAsia"/>
        </w:rPr>
        <w:t>按GB/T22294执行。</w:t>
      </w:r>
    </w:p>
    <w:p w14:paraId="3791DF76">
      <w:pPr>
        <w:pStyle w:val="56"/>
      </w:pPr>
      <w:bookmarkStart w:id="45" w:name="_Toc29056"/>
      <w:r>
        <w:rPr>
          <w:rFonts w:hint="eastAsia"/>
        </w:rPr>
        <w:t>包装及标识</w:t>
      </w:r>
      <w:bookmarkEnd w:id="45"/>
    </w:p>
    <w:p w14:paraId="4EB04735">
      <w:pPr>
        <w:pStyle w:val="43"/>
      </w:pPr>
      <w:r>
        <w:rPr>
          <w:rFonts w:hint="eastAsia"/>
        </w:rPr>
        <w:t>包装及标识都要符合国家标准：</w:t>
      </w:r>
      <w:r>
        <w:t>粮食销售包装（GB</w:t>
      </w:r>
      <w:r>
        <w:rPr>
          <w:rFonts w:hint="eastAsia"/>
        </w:rPr>
        <w:t>17109</w:t>
      </w:r>
      <w:r>
        <w:t>）的</w:t>
      </w:r>
      <w:r>
        <w:rPr>
          <w:rFonts w:hint="eastAsia"/>
        </w:rPr>
        <w:t>有关规定。加工后的成品米需降温在7℃~30℃区间内方可包装；包装大米的器具应专用、不得污染，应坚固、清洁、干燥、无任何昆虫传播、真菌污染及不良气味；打包间的落地米不得直接包装出厂；包装容器封口严密，不得破损、泄漏；出厂产品应附有厂检验部门签发的合格证，合格证应使用无毒材质制成。优质精制米、营养配制米采用1kg、1.5kg的纸袋、纸盒等普通超小型包装，有利于大米保鲜。</w:t>
      </w:r>
    </w:p>
    <w:p w14:paraId="6446A2B5">
      <w:pPr>
        <w:pStyle w:val="56"/>
      </w:pPr>
      <w:bookmarkStart w:id="46" w:name="_Toc10156"/>
      <w:r>
        <w:rPr>
          <w:rFonts w:hint="eastAsia"/>
        </w:rPr>
        <w:t>运输和贮存</w:t>
      </w:r>
      <w:bookmarkEnd w:id="46"/>
    </w:p>
    <w:p w14:paraId="1842C492">
      <w:pPr>
        <w:pStyle w:val="43"/>
      </w:pPr>
      <w:r>
        <w:rPr>
          <w:rFonts w:hint="eastAsia"/>
        </w:rPr>
        <w:t>运输工具、车辆必须清洁、卫生、干燥，无其他污染物。在运输过程中必须遮盖，防雨、防雪、防晒，严禁与有毒有害和有异味的物品混运。</w:t>
      </w:r>
    </w:p>
    <w:p w14:paraId="0D0B8CBF">
      <w:pPr>
        <w:pStyle w:val="43"/>
      </w:pPr>
      <w:r>
        <w:rPr>
          <w:rFonts w:hint="eastAsia"/>
        </w:rPr>
        <w:t>贮存稻谷和成品大米贮存库房应清洁，干燥、通风、无鼠虫害。严禁与有毒、有害、有腐蚀性、易发霉、发潮、有异味的物品同仓库存放。成品大米堆放必须有垫板，离地10cm以上，离墙20cm以上，应在避光、常温、干燥和有防潮设施处贮存，不得露天堆放。</w:t>
      </w:r>
    </w:p>
    <w:p w14:paraId="79F9321C">
      <w:pPr>
        <w:pStyle w:val="40"/>
      </w:pPr>
      <w:bookmarkStart w:id="47" w:name="_Toc1982"/>
      <w:r>
        <w:rPr>
          <w:rFonts w:hint="eastAsia"/>
        </w:rPr>
        <w:t>销售</w:t>
      </w:r>
      <w:bookmarkEnd w:id="47"/>
    </w:p>
    <w:p w14:paraId="0A727F63">
      <w:pPr>
        <w:pStyle w:val="56"/>
      </w:pPr>
      <w:r>
        <w:t xml:space="preserve"> </w:t>
      </w:r>
      <w:bookmarkStart w:id="48" w:name="_Toc30971"/>
      <w:r>
        <w:t>授权资质管理‌</w:t>
      </w:r>
      <w:bookmarkEnd w:id="48"/>
    </w:p>
    <w:p w14:paraId="658DAD43">
      <w:pPr>
        <w:pStyle w:val="43"/>
      </w:pPr>
      <w:r>
        <w:rPr>
          <w:rFonts w:hint="eastAsia"/>
        </w:rPr>
        <w:t>为确保“千塘稻”的市场公信力与品牌价值，需严格遵循相关机构的授权要求，并建立完整的资质管理体系。</w:t>
      </w:r>
    </w:p>
    <w:p w14:paraId="073CDB4E">
      <w:pPr>
        <w:pStyle w:val="56"/>
      </w:pPr>
      <w:bookmarkStart w:id="49" w:name="_Toc25948"/>
      <w:r>
        <w:rPr>
          <w:rFonts w:hint="eastAsia"/>
        </w:rPr>
        <w:t>品牌授权</w:t>
      </w:r>
      <w:bookmarkEnd w:id="49"/>
    </w:p>
    <w:p w14:paraId="44B5EB65">
      <w:pPr>
        <w:pStyle w:val="43"/>
      </w:pPr>
      <w:r>
        <w:rPr>
          <w:rFonts w:hint="eastAsia"/>
        </w:rPr>
        <w:t>由磐石市农业农村局对申请企业的“千塘稻”种植、加工、仓储等环节进行审核，符合千塘稻的</w:t>
      </w:r>
      <w:r>
        <w:t>标准后颁发授权证书。</w:t>
      </w:r>
    </w:p>
    <w:p w14:paraId="1214540A">
      <w:pPr>
        <w:pStyle w:val="56"/>
      </w:pPr>
      <w:bookmarkStart w:id="50" w:name="_Toc17055"/>
      <w:r>
        <w:rPr>
          <w:rFonts w:hint="eastAsia"/>
        </w:rPr>
        <w:t>包装备案</w:t>
      </w:r>
      <w:r>
        <w:t>‌</w:t>
      </w:r>
      <w:bookmarkEnd w:id="50"/>
    </w:p>
    <w:p w14:paraId="30E8CF03">
      <w:pPr>
        <w:pStyle w:val="43"/>
      </w:pPr>
      <w:r>
        <w:rPr>
          <w:rFonts w:hint="eastAsia"/>
        </w:rPr>
        <w:t>企业就“千塘稻”的包装、展示文字内容（logo、二维码等）需要向中国地理学会申请</w:t>
      </w:r>
      <w:r>
        <w:t>进行</w:t>
      </w:r>
      <w:r>
        <w:rPr>
          <w:rFonts w:hint="eastAsia"/>
        </w:rPr>
        <w:t>备案</w:t>
      </w:r>
      <w:r>
        <w:t>，确保其符合地理标志产品的视觉识别标准。</w:t>
      </w:r>
      <w:r>
        <w:rPr>
          <w:rFonts w:hint="eastAsia"/>
        </w:rPr>
        <w:t>借助中国地理学会的权威性，增强产品的科学可信度，突出其产地特色与生态价值。</w:t>
      </w:r>
    </w:p>
    <w:p w14:paraId="6E5A7596">
      <w:pPr>
        <w:pStyle w:val="56"/>
      </w:pPr>
      <w:bookmarkStart w:id="51" w:name="_Toc23444"/>
      <w:r>
        <w:rPr>
          <w:rFonts w:hint="eastAsia"/>
        </w:rPr>
        <w:t>产品溯源</w:t>
      </w:r>
      <w:bookmarkEnd w:id="51"/>
    </w:p>
    <w:p w14:paraId="71F29FD4">
      <w:pPr>
        <w:pStyle w:val="43"/>
        <w:rPr>
          <w:b/>
          <w:bCs/>
          <w:sz w:val="30"/>
          <w:szCs w:val="30"/>
        </w:rPr>
      </w:pPr>
      <w:r>
        <w:rPr>
          <w:rFonts w:hint="eastAsia"/>
        </w:rPr>
        <w:t>产品包装上需具备“千塘稻”生境保护与可持续发展案例、生境实时监测二维码以及溯源二维码（包含种植、加工、检测等全流程信息），同时必须标识优质地理产品“千塘稻”中国科技资源注册号（CSTR）、国际数字化注册号（DOI）及世界数据中心编号，以便于消费者进行产品溯源和识别真伪。</w:t>
      </w:r>
    </w:p>
    <w:p w14:paraId="03EA6F45">
      <w:pPr>
        <w:pStyle w:val="40"/>
      </w:pPr>
      <w:bookmarkStart w:id="52" w:name="_Toc30372"/>
      <w:r>
        <w:rPr>
          <w:rFonts w:hint="eastAsia"/>
        </w:rPr>
        <w:t>管理</w:t>
      </w:r>
      <w:bookmarkEnd w:id="52"/>
    </w:p>
    <w:p w14:paraId="53BB693B">
      <w:pPr>
        <w:pStyle w:val="56"/>
      </w:pPr>
      <w:bookmarkStart w:id="53" w:name="_Toc19223"/>
      <w:r>
        <w:rPr>
          <w:rFonts w:hint="eastAsia"/>
        </w:rPr>
        <w:t>管理体系</w:t>
      </w:r>
      <w:bookmarkEnd w:id="53"/>
    </w:p>
    <w:p w14:paraId="57C0DAFE">
      <w:pPr>
        <w:pStyle w:val="43"/>
      </w:pPr>
      <w:r>
        <w:rPr>
          <w:rFonts w:hint="eastAsia"/>
        </w:rPr>
        <w:t>构建多层级、专业化的工作团队，明确权责边界与协作机制，确保磐石千塘稻从生产到销售的全链条管理责任到人。领导小组统筹行政资源与政策支持，技术团队提供科学支撑与执行保障，形成“政府引导</w:t>
      </w:r>
      <w:r>
        <w:t>+专家指导+属地落实”的协同体系，解决跨部门协作低效、技术标准执行偏差等问题，为标准化建设提供组织保障。</w:t>
      </w:r>
    </w:p>
    <w:p w14:paraId="41AE68CE">
      <w:pPr>
        <w:pStyle w:val="65"/>
      </w:pPr>
      <w:r>
        <w:rPr>
          <w:rFonts w:hint="eastAsia"/>
        </w:rPr>
        <w:t>领导小组</w:t>
      </w:r>
    </w:p>
    <w:p w14:paraId="22CEB9D3">
      <w:pPr>
        <w:pStyle w:val="43"/>
      </w:pPr>
      <w:r>
        <w:rPr>
          <w:rFonts w:hint="eastAsia"/>
        </w:rPr>
        <w:t>由磐石市政府主导，磐石农业农村局牵头，自然资源局、市场监督管理局、属地乡镇政府负责人紧密配合。</w:t>
      </w:r>
    </w:p>
    <w:p w14:paraId="0FC8A5EC">
      <w:pPr>
        <w:pStyle w:val="65"/>
      </w:pPr>
      <w:r>
        <w:rPr>
          <w:rFonts w:hint="eastAsia"/>
        </w:rPr>
        <w:t>组长</w:t>
      </w:r>
    </w:p>
    <w:p w14:paraId="784E682A">
      <w:pPr>
        <w:pStyle w:val="43"/>
      </w:pPr>
      <w:r>
        <w:rPr>
          <w:rFonts w:hint="eastAsia"/>
        </w:rPr>
        <w:t>市长/主管副市长，分管农业农村及市场监督管理局；职责：统筹全市资源调配，协调跨部门政策制定。</w:t>
      </w:r>
    </w:p>
    <w:p w14:paraId="75A4C125">
      <w:pPr>
        <w:pStyle w:val="65"/>
      </w:pPr>
      <w:r>
        <w:rPr>
          <w:rFonts w:hint="eastAsia"/>
        </w:rPr>
        <w:t>副组长</w:t>
      </w:r>
    </w:p>
    <w:p w14:paraId="3E8088DA">
      <w:pPr>
        <w:pStyle w:val="43"/>
      </w:pPr>
      <w:r>
        <w:rPr>
          <w:rFonts w:hint="eastAsia"/>
        </w:rPr>
        <w:t xml:space="preserve">农业农村局局长/主管副局长；职责：制定技术标准体系，监督生产全流程合规性，管理专项经费千塘稻种植和授权工作 </w:t>
      </w:r>
    </w:p>
    <w:p w14:paraId="38D9EAB4">
      <w:pPr>
        <w:pStyle w:val="65"/>
      </w:pPr>
      <w:r>
        <w:rPr>
          <w:rFonts w:hint="eastAsia"/>
        </w:rPr>
        <w:t>副组长</w:t>
      </w:r>
    </w:p>
    <w:p w14:paraId="2D7FAEBC">
      <w:pPr>
        <w:pStyle w:val="43"/>
      </w:pPr>
      <w:r>
        <w:rPr>
          <w:rFonts w:hint="eastAsia"/>
        </w:rPr>
        <w:t xml:space="preserve">市市场监管局局长/分管副局长；职责：产品抽检、商标使用监管，处理消费者投诉 </w:t>
      </w:r>
    </w:p>
    <w:p w14:paraId="165F2403">
      <w:pPr>
        <w:pStyle w:val="65"/>
      </w:pPr>
      <w:r>
        <w:rPr>
          <w:rFonts w:hint="eastAsia"/>
        </w:rPr>
        <w:t>成员单位</w:t>
      </w:r>
    </w:p>
    <w:p w14:paraId="0E8C6A90">
      <w:pPr>
        <w:pStyle w:val="43"/>
      </w:pPr>
      <w:r>
        <w:rPr>
          <w:rFonts w:hint="eastAsia"/>
        </w:rPr>
        <w:t>企业主体：负责人；职责：千塘稻种植、加工、销售</w:t>
      </w:r>
    </w:p>
    <w:p w14:paraId="3CD79775">
      <w:pPr>
        <w:pStyle w:val="43"/>
      </w:pPr>
      <w:r>
        <w:rPr>
          <w:rFonts w:hint="eastAsia"/>
        </w:rPr>
        <w:t>属地乡镇政府：各乡镇镇长；职责：组织农户签约，落实属地生产管理责任</w:t>
      </w:r>
    </w:p>
    <w:p w14:paraId="48C8D963">
      <w:pPr>
        <w:pStyle w:val="56"/>
      </w:pPr>
      <w:bookmarkStart w:id="54" w:name="_Toc5766"/>
      <w:r>
        <w:t>技术团队</w:t>
      </w:r>
      <w:bookmarkEnd w:id="54"/>
    </w:p>
    <w:p w14:paraId="35DA2D89">
      <w:pPr>
        <w:pStyle w:val="43"/>
      </w:pPr>
      <w:r>
        <w:rPr>
          <w:rFonts w:hint="eastAsia"/>
        </w:rPr>
        <w:t>由千塘稻案例负责人、土壤改良专家、品种选育专家、植物保护专家、农业气象专家、智慧农业专家、品牌建设顾问等各行业专家组成。</w:t>
      </w:r>
    </w:p>
    <w:p w14:paraId="4E7BAB1B">
      <w:pPr>
        <w:pStyle w:val="65"/>
      </w:pPr>
      <w:r>
        <w:rPr>
          <w:rFonts w:hint="eastAsia"/>
        </w:rPr>
        <w:t>首席专家</w:t>
      </w:r>
    </w:p>
    <w:p w14:paraId="5AFF1389">
      <w:pPr>
        <w:pStyle w:val="43"/>
      </w:pPr>
      <w:r>
        <w:rPr>
          <w:rFonts w:hint="eastAsia"/>
        </w:rPr>
        <w:t xml:space="preserve">千塘稻优质地理产品案例首席，中国地理学会/中国科学院地理科学与资源研究所研究员，博士生导师；职责：制定核心技术路线，对接国家科研项目、政策方针  </w:t>
      </w:r>
    </w:p>
    <w:p w14:paraId="03F03EBE">
      <w:pPr>
        <w:pStyle w:val="65"/>
      </w:pPr>
      <w:r>
        <w:rPr>
          <w:rFonts w:hint="eastAsia"/>
        </w:rPr>
        <w:t>生产指导组</w:t>
      </w:r>
    </w:p>
    <w:p w14:paraId="4DE3E015">
      <w:pPr>
        <w:pStyle w:val="43"/>
      </w:pPr>
      <w:r>
        <w:rPr>
          <w:rFonts w:hint="eastAsia"/>
        </w:rPr>
        <w:t>职责：分片包干指导农户（每名技术员负责2000亩）；</w:t>
      </w:r>
    </w:p>
    <w:p w14:paraId="03D9D6DB">
      <w:pPr>
        <w:pStyle w:val="43"/>
      </w:pPr>
      <w:r>
        <w:rPr>
          <w:rFonts w:hint="eastAsia"/>
        </w:rPr>
        <w:t xml:space="preserve">技能要求：了解矢量地块空间分布，掌握GIS地块管理系统  </w:t>
      </w:r>
    </w:p>
    <w:p w14:paraId="579427EA">
      <w:pPr>
        <w:pStyle w:val="65"/>
      </w:pPr>
      <w:r>
        <w:rPr>
          <w:rFonts w:hint="eastAsia"/>
        </w:rPr>
        <w:t>加工技术组</w:t>
      </w:r>
    </w:p>
    <w:p w14:paraId="3CB90055">
      <w:pPr>
        <w:pStyle w:val="43"/>
      </w:pPr>
      <w:r>
        <w:rPr>
          <w:rFonts w:hint="eastAsia"/>
        </w:rPr>
        <w:t>职责：熟悉农产品的储存、包装、加工等一系列环节</w:t>
      </w:r>
    </w:p>
    <w:p w14:paraId="204E9FA3">
      <w:pPr>
        <w:pStyle w:val="43"/>
      </w:pPr>
      <w:r>
        <w:rPr>
          <w:rFonts w:hint="eastAsia"/>
        </w:rPr>
        <w:t xml:space="preserve">资质要求：食品工程师（中级以上职称）  </w:t>
      </w:r>
    </w:p>
    <w:p w14:paraId="034EF321">
      <w:pPr>
        <w:pStyle w:val="65"/>
      </w:pPr>
      <w:r>
        <w:rPr>
          <w:rFonts w:hint="eastAsia"/>
        </w:rPr>
        <w:t>质量监控组</w:t>
      </w:r>
    </w:p>
    <w:p w14:paraId="06D1F456">
      <w:pPr>
        <w:pStyle w:val="43"/>
      </w:pPr>
      <w:r>
        <w:rPr>
          <w:rFonts w:hint="eastAsia"/>
        </w:rPr>
        <w:t xml:space="preserve">职责：实验室检测（农残、重金属、营养成分）  </w:t>
      </w:r>
    </w:p>
    <w:p w14:paraId="3F973553">
      <w:pPr>
        <w:pStyle w:val="43"/>
      </w:pPr>
      <w:r>
        <w:rPr>
          <w:rFonts w:hint="eastAsia"/>
        </w:rPr>
        <w:t>设备配置：液相色谱仪</w:t>
      </w:r>
    </w:p>
    <w:p w14:paraId="26E596D3">
      <w:pPr>
        <w:pStyle w:val="56"/>
      </w:pPr>
      <w:bookmarkStart w:id="55" w:name="_Toc27859"/>
      <w:r>
        <w:rPr>
          <w:rFonts w:hint="eastAsia"/>
        </w:rPr>
        <w:t>种植备案</w:t>
      </w:r>
      <w:bookmarkEnd w:id="55"/>
    </w:p>
    <w:p w14:paraId="50D7D380">
      <w:pPr>
        <w:pStyle w:val="65"/>
      </w:pPr>
      <w:r>
        <w:t>年度种植计划报备</w:t>
      </w:r>
    </w:p>
    <w:p w14:paraId="02D9ADD8">
      <w:pPr>
        <w:pStyle w:val="43"/>
      </w:pPr>
      <w:r>
        <w:rPr>
          <w:rFonts w:hint="eastAsia"/>
        </w:rPr>
        <w:t>企业每年</w:t>
      </w:r>
      <w:r>
        <w:t>3月1日前需提交种植面积、品种分布、地块位置等数据至</w:t>
      </w:r>
      <w:r>
        <w:rPr>
          <w:rFonts w:hint="eastAsia"/>
        </w:rPr>
        <w:t>农业农村局进行备案</w:t>
      </w:r>
      <w:r>
        <w:t>，数据需与数字化空间图匹配，偏差率≤1%</w:t>
      </w:r>
      <w:r>
        <w:rPr>
          <w:rFonts w:hint="eastAsia"/>
        </w:rPr>
        <w:t>。</w:t>
      </w:r>
    </w:p>
    <w:p w14:paraId="73EEF0DC">
      <w:pPr>
        <w:pStyle w:val="65"/>
      </w:pPr>
      <w:r>
        <w:t>数据审核与备案公示</w:t>
      </w:r>
    </w:p>
    <w:p w14:paraId="309B2D5F">
      <w:pPr>
        <w:pStyle w:val="43"/>
      </w:pPr>
      <w:r>
        <w:rPr>
          <w:rFonts w:hint="eastAsia"/>
        </w:rPr>
        <w:t>监管部门通过</w:t>
      </w:r>
      <w:r>
        <w:t>GIS系统核实地块边界与种植信息，审核通过后颁发电子备案证书，并在溯源平台公示产区地图及企业资质</w:t>
      </w:r>
      <w:r>
        <w:rPr>
          <w:rFonts w:hint="eastAsia"/>
        </w:rPr>
        <w:t>。</w:t>
      </w:r>
    </w:p>
    <w:p w14:paraId="4C28733F">
      <w:pPr>
        <w:pStyle w:val="65"/>
      </w:pPr>
      <w:r>
        <w:rPr>
          <w:rFonts w:hint="eastAsia"/>
        </w:rPr>
        <w:t>加工备案</w:t>
      </w:r>
    </w:p>
    <w:p w14:paraId="46DA1AA4">
      <w:pPr>
        <w:pStyle w:val="43"/>
      </w:pPr>
      <w:r>
        <w:rPr>
          <w:rFonts w:hint="eastAsia"/>
        </w:rPr>
        <w:t>具有资质的企业需要向磐石市市场监督管理局提交营业执照、卫生许可证、质量管理手册等相关文件进行备案，方可对“千塘稻”进行加工生产。</w:t>
      </w:r>
    </w:p>
    <w:p w14:paraId="383CEEDA">
      <w:pPr>
        <w:pStyle w:val="65"/>
      </w:pPr>
      <w:r>
        <w:t>违规退出机制</w:t>
      </w:r>
    </w:p>
    <w:p w14:paraId="14A402E8">
      <w:pPr>
        <w:pStyle w:val="43"/>
      </w:pPr>
      <w:r>
        <w:t>对</w:t>
      </w:r>
      <w:r>
        <w:rPr>
          <w:rFonts w:hint="eastAsia"/>
        </w:rPr>
        <w:t>未按照“千塘稻”加工标准的、</w:t>
      </w:r>
      <w:r>
        <w:t>超范围种植</w:t>
      </w:r>
      <w:r>
        <w:rPr>
          <w:rFonts w:hint="eastAsia"/>
        </w:rPr>
        <w:t>的</w:t>
      </w:r>
      <w:r>
        <w:t>、使用非标投入品的企业，取消授权资格并摘牌，相关信息纳入信用黑名单，公示期≥2年</w:t>
      </w:r>
      <w:r>
        <w:rPr>
          <w:rFonts w:hint="eastAsia"/>
        </w:rPr>
        <w:t>。</w:t>
      </w:r>
    </w:p>
    <w:p w14:paraId="73102C5C">
      <w:pPr>
        <w:spacing w:before="156" w:beforeLines="50" w:after="156" w:afterLines="50"/>
        <w:rPr>
          <w:rFonts w:ascii="Times New Roman" w:hAnsi="Times New Roman" w:eastAsia="楷体_GB2312" w:cs="Times New Roman"/>
          <w:b/>
          <w:bCs/>
          <w:sz w:val="24"/>
          <w:szCs w:val="24"/>
        </w:rPr>
      </w:pPr>
    </w:p>
    <w:p w14:paraId="481DA8CB">
      <w:pPr>
        <w:pStyle w:val="43"/>
        <w:sectPr>
          <w:headerReference r:id="rId17" w:type="first"/>
          <w:footerReference r:id="rId20" w:type="first"/>
          <w:headerReference r:id="rId15" w:type="default"/>
          <w:footerReference r:id="rId18" w:type="default"/>
          <w:headerReference r:id="rId16" w:type="even"/>
          <w:footerReference r:id="rId19" w:type="even"/>
          <w:pgSz w:w="11906" w:h="16838"/>
          <w:pgMar w:top="1418" w:right="1418" w:bottom="1134" w:left="1418" w:header="1417" w:footer="1134" w:gutter="0"/>
          <w:pgNumType w:start="1"/>
          <w:cols w:space="425" w:num="1"/>
          <w:titlePg/>
          <w:docGrid w:type="lines" w:linePitch="312" w:charSpace="0"/>
        </w:sectPr>
      </w:pPr>
    </w:p>
    <w:p w14:paraId="2B8AEB19">
      <w:pPr>
        <w:pStyle w:val="89"/>
        <w:spacing w:before="156" w:after="156"/>
        <w:rPr>
          <w:rFonts w:hint="eastAsia"/>
        </w:rPr>
      </w:pPr>
      <w:bookmarkStart w:id="56" w:name="_Toc18259"/>
      <w:r>
        <w:rPr>
          <w:rFonts w:hint="eastAsia"/>
        </w:rPr>
        <w:t>附录 A</w:t>
      </w:r>
      <w:bookmarkEnd w:id="56"/>
    </w:p>
    <w:p w14:paraId="040FA840">
      <w:pPr>
        <w:pStyle w:val="89"/>
        <w:spacing w:before="156" w:after="156"/>
        <w:jc w:val="both"/>
      </w:pPr>
      <w:bookmarkStart w:id="57" w:name="_Toc18954"/>
      <w:r>
        <w:rPr>
          <w:rFonts w:hint="eastAsia"/>
        </w:rPr>
        <w:t>（规范性附录）</w:t>
      </w:r>
      <w:bookmarkEnd w:id="57"/>
    </w:p>
    <w:p w14:paraId="4AEC9ECD">
      <w:pPr>
        <w:pStyle w:val="43"/>
      </w:pPr>
      <w:r>
        <w:rPr>
          <w:rFonts w:hint="eastAsia"/>
        </w:rPr>
        <w:t>地标生境</w:t>
      </w:r>
      <w:r>
        <w:rPr>
          <w:rFonts w:hint="eastAsia"/>
          <w:lang w:val="en-US" w:eastAsia="zh-CN"/>
        </w:rPr>
        <w:t xml:space="preserve"> </w:t>
      </w:r>
      <w:r>
        <w:rPr>
          <w:rFonts w:hint="eastAsia"/>
        </w:rPr>
        <w:t>磐石千塘稻永久基本农田案例保护范围见图A.1。</w:t>
      </w:r>
    </w:p>
    <w:p w14:paraId="6051904D">
      <w:pPr>
        <w:pStyle w:val="43"/>
      </w:pPr>
    </w:p>
    <w:p w14:paraId="4A2D0B52">
      <w:pPr>
        <w:pStyle w:val="43"/>
        <w:keepNext w:val="0"/>
        <w:keepLines w:val="0"/>
        <w:pageBreakBefore w:val="0"/>
        <w:widowControl/>
        <w:kinsoku/>
        <w:wordWrap/>
        <w:overflowPunct/>
        <w:topLinePunct w:val="0"/>
        <w:autoSpaceDE/>
        <w:autoSpaceDN/>
        <w:bidi w:val="0"/>
        <w:adjustRightInd/>
        <w:snapToGrid/>
        <w:ind w:firstLine="0" w:firstLineChars="0"/>
        <w:jc w:val="center"/>
        <w:textAlignment w:val="auto"/>
      </w:pPr>
      <w:r>
        <w:drawing>
          <wp:inline distT="0" distB="0" distL="0" distR="0">
            <wp:extent cx="5139690" cy="4298315"/>
            <wp:effectExtent l="0" t="0" r="11430" b="14605"/>
            <wp:docPr id="89926560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265603" name="图片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139690" cy="4298315"/>
                    </a:xfrm>
                    <a:prstGeom prst="rect">
                      <a:avLst/>
                    </a:prstGeom>
                    <a:noFill/>
                  </pic:spPr>
                </pic:pic>
              </a:graphicData>
            </a:graphic>
          </wp:inline>
        </w:drawing>
      </w:r>
    </w:p>
    <w:p w14:paraId="5FFB62EB">
      <w:pPr>
        <w:pStyle w:val="43"/>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eastAsia="宋体"/>
          <w:lang w:val="en-US" w:eastAsia="zh-CN"/>
        </w:rPr>
      </w:pPr>
      <w:r>
        <w:rPr>
          <w:rFonts w:hint="eastAsia"/>
          <w:lang w:val="en-US" w:eastAsia="zh-CN"/>
        </w:rPr>
        <w:t>图A.1 地标生境 磐石千塘稻永久基本农田案例保护范围</w:t>
      </w:r>
    </w:p>
    <w:p w14:paraId="34EF8D0F">
      <w:pPr>
        <w:pStyle w:val="43"/>
      </w:pPr>
    </w:p>
    <w:p w14:paraId="0392B06A">
      <w:pPr>
        <w:spacing w:line="320" w:lineRule="exact"/>
        <w:rPr>
          <w:rFonts w:ascii="黑体" w:eastAsia="黑体"/>
        </w:rPr>
      </w:pPr>
    </w:p>
    <w:sectPr>
      <w:footerReference r:id="rId21" w:type="first"/>
      <w:pgSz w:w="11906" w:h="16838"/>
      <w:pgMar w:top="1418" w:right="1418" w:bottom="1134" w:left="1418" w:header="1417" w:footer="1134" w:gutter="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F32B0">
    <w:pPr>
      <w:pStyle w:val="13"/>
      <w:spacing w:line="240" w:lineRule="auto"/>
      <w:jc w:val="right"/>
      <w:rPr>
        <w:rFonts w:ascii="Times New Roman" w:hAnsi="Times New Roman"/>
        <w:caps/>
        <w:color w:val="000000" w:themeColor="text1"/>
        <w14:textFill>
          <w14:solidFill>
            <w14:schemeClr w14:val="tx1"/>
          </w14:solidFill>
        </w14:textFill>
      </w:rPr>
    </w:pPr>
    <w:r>
      <w:rPr>
        <w:rFonts w:ascii="Times New Roman" w:hAnsi="Times New Roman"/>
        <w:caps/>
        <w:color w:val="000000" w:themeColor="text1"/>
        <w14:textFill>
          <w14:solidFill>
            <w14:schemeClr w14:val="tx1"/>
          </w14:solidFill>
        </w14:textFill>
      </w:rPr>
      <w:fldChar w:fldCharType="begin"/>
    </w:r>
    <w:r>
      <w:rPr>
        <w:rFonts w:ascii="Times New Roman" w:hAnsi="Times New Roman"/>
        <w:caps/>
        <w:color w:val="000000" w:themeColor="text1"/>
        <w14:textFill>
          <w14:solidFill>
            <w14:schemeClr w14:val="tx1"/>
          </w14:solidFill>
        </w14:textFill>
      </w:rPr>
      <w:instrText xml:space="preserve">PAGE   \* MERGEFORMAT</w:instrText>
    </w:r>
    <w:r>
      <w:rPr>
        <w:rFonts w:ascii="Times New Roman" w:hAnsi="Times New Roman"/>
        <w:caps/>
        <w:color w:val="000000" w:themeColor="text1"/>
        <w14:textFill>
          <w14:solidFill>
            <w14:schemeClr w14:val="tx1"/>
          </w14:solidFill>
        </w14:textFill>
      </w:rPr>
      <w:fldChar w:fldCharType="separate"/>
    </w:r>
    <w:r>
      <w:rPr>
        <w:rFonts w:ascii="Times New Roman" w:hAnsi="Times New Roman"/>
        <w:caps/>
        <w:color w:val="000000" w:themeColor="text1"/>
        <w:lang w:val="zh-CN"/>
        <w14:textFill>
          <w14:solidFill>
            <w14:schemeClr w14:val="tx1"/>
          </w14:solidFill>
        </w14:textFill>
      </w:rPr>
      <w:t>5</w:t>
    </w:r>
    <w:r>
      <w:rPr>
        <w:rFonts w:ascii="Times New Roman" w:hAnsi="Times New Roman"/>
        <w:caps/>
        <w:color w:val="000000" w:themeColor="text1"/>
        <w14:textFill>
          <w14:solidFill>
            <w14:schemeClr w14:val="tx1"/>
          </w14:solidFill>
        </w14:textFil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71639">
    <w:pPr>
      <w:pStyle w:val="13"/>
      <w:spacing w:line="240" w:lineRule="auto"/>
      <w:rPr>
        <w:rFonts w:ascii="Times New Roman" w:hAnsi="Times New Roman"/>
        <w:caps/>
        <w:color w:val="4472C4" w:themeColor="accent1"/>
        <w14:textFill>
          <w14:solidFill>
            <w14:schemeClr w14:val="accent1"/>
          </w14:solidFill>
        </w14:textFill>
      </w:rPr>
    </w:pPr>
    <w:r>
      <w:rPr>
        <w:rFonts w:ascii="Times New Roman" w:hAnsi="Times New Roman"/>
        <w:caps/>
      </w:rPr>
      <w:fldChar w:fldCharType="begin"/>
    </w:r>
    <w:r>
      <w:rPr>
        <w:rFonts w:ascii="Times New Roman" w:hAnsi="Times New Roman"/>
        <w:caps/>
      </w:rPr>
      <w:instrText xml:space="preserve">PAGE   \* MERGEFORMAT</w:instrText>
    </w:r>
    <w:r>
      <w:rPr>
        <w:rFonts w:ascii="Times New Roman" w:hAnsi="Times New Roman"/>
        <w:caps/>
      </w:rPr>
      <w:fldChar w:fldCharType="separate"/>
    </w:r>
    <w:r>
      <w:rPr>
        <w:rFonts w:ascii="Times New Roman" w:hAnsi="Times New Roman"/>
        <w:caps/>
        <w:lang w:val="zh-CN"/>
      </w:rPr>
      <w:t>6</w:t>
    </w:r>
    <w:r>
      <w:rPr>
        <w:rFonts w:ascii="Times New Roman" w:hAnsi="Times New Roman"/>
        <w:caps/>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BF81F">
    <w:pPr>
      <w:pStyle w:val="13"/>
      <w:spacing w:line="240" w:lineRule="auto"/>
      <w:jc w:val="right"/>
      <w:rPr>
        <w:rFonts w:ascii="Times New Roman" w:hAnsi="Times New Roman"/>
        <w:caps/>
        <w:color w:val="4472C4" w:themeColor="accent1"/>
        <w14:textFill>
          <w14:solidFill>
            <w14:schemeClr w14:val="accent1"/>
          </w14:solidFill>
        </w14:textFill>
      </w:rPr>
    </w:pPr>
    <w:r>
      <w:rPr>
        <w:rFonts w:ascii="Times New Roman" w:hAnsi="Times New Roman"/>
        <w:caps/>
      </w:rPr>
      <w:fldChar w:fldCharType="begin"/>
    </w:r>
    <w:r>
      <w:rPr>
        <w:rFonts w:ascii="Times New Roman" w:hAnsi="Times New Roman"/>
        <w:caps/>
      </w:rPr>
      <w:instrText xml:space="preserve">PAGE   \* MERGEFORMAT</w:instrText>
    </w:r>
    <w:r>
      <w:rPr>
        <w:rFonts w:ascii="Times New Roman" w:hAnsi="Times New Roman"/>
        <w:caps/>
      </w:rPr>
      <w:fldChar w:fldCharType="separate"/>
    </w:r>
    <w:r>
      <w:rPr>
        <w:rFonts w:ascii="Times New Roman" w:hAnsi="Times New Roman"/>
        <w:caps/>
        <w:lang w:val="zh-CN"/>
      </w:rPr>
      <w:t>6</w:t>
    </w:r>
    <w:r>
      <w:rPr>
        <w:rFonts w:ascii="Times New Roman" w:hAnsi="Times New Roman"/>
        <w:caps/>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CD5D3">
    <w:pPr>
      <w:pStyle w:val="13"/>
      <w:spacing w:line="240" w:lineRule="auto"/>
      <w:jc w:val="right"/>
      <w:rPr>
        <w:rFonts w:ascii="Times New Roman" w:hAnsi="Times New Roman"/>
        <w:caps/>
        <w:color w:val="000000" w:themeColor="text1"/>
        <w14:textFill>
          <w14:solidFill>
            <w14:schemeClr w14:val="tx1"/>
          </w14:solidFill>
        </w14:textFill>
      </w:rPr>
    </w:pPr>
    <w:r>
      <w:rPr>
        <w:rFonts w:ascii="Times New Roman" w:hAnsi="Times New Roman"/>
        <w:caps/>
        <w:color w:val="000000" w:themeColor="text1"/>
        <w14:textFill>
          <w14:solidFill>
            <w14:schemeClr w14:val="tx1"/>
          </w14:solidFill>
        </w14:textFill>
      </w:rPr>
      <w:fldChar w:fldCharType="begin"/>
    </w:r>
    <w:r>
      <w:rPr>
        <w:rFonts w:ascii="Times New Roman" w:hAnsi="Times New Roman"/>
        <w:caps/>
        <w:color w:val="000000" w:themeColor="text1"/>
        <w14:textFill>
          <w14:solidFill>
            <w14:schemeClr w14:val="tx1"/>
          </w14:solidFill>
        </w14:textFill>
      </w:rPr>
      <w:instrText xml:space="preserve">PAGE   \* MERGEFORMAT</w:instrText>
    </w:r>
    <w:r>
      <w:rPr>
        <w:rFonts w:ascii="Times New Roman" w:hAnsi="Times New Roman"/>
        <w:caps/>
        <w:color w:val="000000" w:themeColor="text1"/>
        <w14:textFill>
          <w14:solidFill>
            <w14:schemeClr w14:val="tx1"/>
          </w14:solidFill>
        </w14:textFill>
      </w:rPr>
      <w:fldChar w:fldCharType="separate"/>
    </w:r>
    <w:r>
      <w:rPr>
        <w:rFonts w:ascii="Times New Roman" w:hAnsi="Times New Roman"/>
        <w:caps/>
        <w:color w:val="000000" w:themeColor="text1"/>
        <w:lang w:val="zh-CN"/>
        <w14:textFill>
          <w14:solidFill>
            <w14:schemeClr w14:val="tx1"/>
          </w14:solidFill>
        </w14:textFill>
      </w:rPr>
      <w:t>5</w:t>
    </w:r>
    <w:r>
      <w:rPr>
        <w:rFonts w:ascii="Times New Roman" w:hAnsi="Times New Roman"/>
        <w:caps/>
        <w:color w:val="000000" w:themeColor="text1"/>
        <w14:textFill>
          <w14:solidFill>
            <w14:schemeClr w14:val="tx1"/>
          </w14:solidFill>
        </w14:textFill>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7E49C">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200E5">
    <w:pPr>
      <w:pStyle w:val="13"/>
      <w:spacing w:line="240" w:lineRule="auto"/>
      <w:jc w:val="right"/>
      <w:rPr>
        <w:rFonts w:ascii="Times New Roman" w:hAnsi="Times New Roman"/>
        <w:caps/>
        <w:color w:val="000000" w:themeColor="text1"/>
        <w14:textFill>
          <w14:solidFill>
            <w14:schemeClr w14:val="tx1"/>
          </w14:solidFill>
        </w14:textFill>
      </w:rPr>
    </w:pPr>
    <w:r>
      <w:rPr>
        <w:rFonts w:ascii="Times New Roman" w:hAnsi="Times New Roman"/>
        <w:caps/>
        <w:color w:val="000000" w:themeColor="text1"/>
        <w14:textFill>
          <w14:solidFill>
            <w14:schemeClr w14:val="tx1"/>
          </w14:solidFill>
        </w14:textFill>
      </w:rPr>
      <w:fldChar w:fldCharType="begin"/>
    </w:r>
    <w:r>
      <w:rPr>
        <w:rFonts w:ascii="Times New Roman" w:hAnsi="Times New Roman"/>
        <w:caps/>
        <w:color w:val="000000" w:themeColor="text1"/>
        <w14:textFill>
          <w14:solidFill>
            <w14:schemeClr w14:val="tx1"/>
          </w14:solidFill>
        </w14:textFill>
      </w:rPr>
      <w:instrText xml:space="preserve">PAGE   \* MERGEFORMAT</w:instrText>
    </w:r>
    <w:r>
      <w:rPr>
        <w:rFonts w:ascii="Times New Roman" w:hAnsi="Times New Roman"/>
        <w:caps/>
        <w:color w:val="000000" w:themeColor="text1"/>
        <w14:textFill>
          <w14:solidFill>
            <w14:schemeClr w14:val="tx1"/>
          </w14:solidFill>
        </w14:textFill>
      </w:rPr>
      <w:fldChar w:fldCharType="separate"/>
    </w:r>
    <w:r>
      <w:rPr>
        <w:rFonts w:ascii="Times New Roman" w:hAnsi="Times New Roman"/>
        <w:caps/>
        <w:color w:val="000000" w:themeColor="text1"/>
        <w:lang w:val="zh-CN"/>
        <w14:textFill>
          <w14:solidFill>
            <w14:schemeClr w14:val="tx1"/>
          </w14:solidFill>
        </w14:textFill>
      </w:rPr>
      <w:t>3</w:t>
    </w:r>
    <w:r>
      <w:rPr>
        <w:rFonts w:ascii="Times New Roman" w:hAnsi="Times New Roman"/>
        <w:caps/>
        <w:color w:val="000000" w:themeColor="text1"/>
        <w14:textFill>
          <w14:solidFill>
            <w14:schemeClr w14:val="tx1"/>
          </w14:solidFill>
        </w14:textFill>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22E47">
    <w:pPr>
      <w:pStyle w:val="13"/>
      <w:spacing w:line="240" w:lineRule="auto"/>
      <w:rPr>
        <w:rFonts w:ascii="Times New Roman" w:hAnsi="Times New Roman"/>
        <w:caps/>
        <w:color w:val="4472C4" w:themeColor="accent1"/>
        <w14:textFill>
          <w14:solidFill>
            <w14:schemeClr w14:val="accent1"/>
          </w14:solidFill>
        </w14:textFill>
      </w:rPr>
    </w:pPr>
    <w:r>
      <w:rPr>
        <w:rFonts w:ascii="Times New Roman" w:hAnsi="Times New Roman"/>
        <w:caps/>
      </w:rPr>
      <w:fldChar w:fldCharType="begin"/>
    </w:r>
    <w:r>
      <w:rPr>
        <w:rFonts w:ascii="Times New Roman" w:hAnsi="Times New Roman"/>
        <w:caps/>
      </w:rPr>
      <w:instrText xml:space="preserve">PAGE   \* MERGEFORMAT</w:instrText>
    </w:r>
    <w:r>
      <w:rPr>
        <w:rFonts w:ascii="Times New Roman" w:hAnsi="Times New Roman"/>
        <w:caps/>
      </w:rPr>
      <w:fldChar w:fldCharType="separate"/>
    </w:r>
    <w:r>
      <w:rPr>
        <w:rFonts w:ascii="Times New Roman" w:hAnsi="Times New Roman"/>
        <w:caps/>
        <w:lang w:val="zh-CN"/>
      </w:rPr>
      <w:t>4</w:t>
    </w:r>
    <w:r>
      <w:rPr>
        <w:rFonts w:ascii="Times New Roman" w:hAnsi="Times New Roman"/>
        <w:caps/>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FF974">
    <w:pPr>
      <w:pStyle w:val="13"/>
      <w:jc w:val="right"/>
      <w:rPr>
        <w:rFonts w:ascii="Times New Roman" w:hAnsi="Times New Roman"/>
        <w:caps/>
        <w:color w:val="000000" w:themeColor="text1"/>
        <w14:textFill>
          <w14:solidFill>
            <w14:schemeClr w14:val="tx1"/>
          </w14:solidFill>
        </w14:textFill>
      </w:rPr>
    </w:pPr>
    <w:r>
      <w:rPr>
        <w:rFonts w:ascii="Times New Roman" w:hAnsi="Times New Roman"/>
        <w:caps/>
        <w:color w:val="000000" w:themeColor="text1"/>
        <w14:textFill>
          <w14:solidFill>
            <w14:schemeClr w14:val="tx1"/>
          </w14:solidFill>
        </w14:textFill>
      </w:rPr>
      <w:fldChar w:fldCharType="begin"/>
    </w:r>
    <w:r>
      <w:rPr>
        <w:rFonts w:ascii="Times New Roman" w:hAnsi="Times New Roman"/>
        <w:caps/>
        <w:color w:val="000000" w:themeColor="text1"/>
        <w14:textFill>
          <w14:solidFill>
            <w14:schemeClr w14:val="tx1"/>
          </w14:solidFill>
        </w14:textFill>
      </w:rPr>
      <w:instrText xml:space="preserve">PAGE   \* MERGEFORMAT</w:instrText>
    </w:r>
    <w:r>
      <w:rPr>
        <w:rFonts w:ascii="Times New Roman" w:hAnsi="Times New Roman"/>
        <w:caps/>
        <w:color w:val="000000" w:themeColor="text1"/>
        <w14:textFill>
          <w14:solidFill>
            <w14:schemeClr w14:val="tx1"/>
          </w14:solidFill>
        </w14:textFill>
      </w:rPr>
      <w:fldChar w:fldCharType="separate"/>
    </w:r>
    <w:r>
      <w:rPr>
        <w:rFonts w:ascii="Times New Roman" w:hAnsi="Times New Roman"/>
        <w:caps/>
        <w:color w:val="000000" w:themeColor="text1"/>
        <w:lang w:val="zh-CN"/>
        <w14:textFill>
          <w14:solidFill>
            <w14:schemeClr w14:val="tx1"/>
          </w14:solidFill>
        </w14:textFill>
      </w:rPr>
      <w:t>1</w:t>
    </w:r>
    <w:r>
      <w:rPr>
        <w:rFonts w:ascii="Times New Roman" w:hAnsi="Times New Roman"/>
        <w:caps/>
        <w:color w:val="000000" w:themeColor="text1"/>
        <w14:textFill>
          <w14:solidFill>
            <w14:schemeClr w14:val="tx1"/>
          </w14:solidFill>
        </w14:textFill>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5219D">
    <w:pPr>
      <w:pStyle w:val="13"/>
      <w:rPr>
        <w:rFonts w:ascii="Times New Roman" w:hAnsi="Times New Roman"/>
        <w:caps/>
        <w:color w:val="000000" w:themeColor="text1"/>
        <w14:textFill>
          <w14:solidFill>
            <w14:schemeClr w14:val="tx1"/>
          </w14:solidFill>
        </w14:textFill>
      </w:rPr>
    </w:pPr>
    <w:r>
      <w:rPr>
        <w:rFonts w:ascii="Times New Roman" w:hAnsi="Times New Roman"/>
        <w:caps/>
        <w:color w:val="000000" w:themeColor="text1"/>
        <w14:textFill>
          <w14:solidFill>
            <w14:schemeClr w14:val="tx1"/>
          </w14:solidFill>
        </w14:textFill>
      </w:rPr>
      <w:fldChar w:fldCharType="begin"/>
    </w:r>
    <w:r>
      <w:rPr>
        <w:rFonts w:ascii="Times New Roman" w:hAnsi="Times New Roman"/>
        <w:caps/>
        <w:color w:val="000000" w:themeColor="text1"/>
        <w14:textFill>
          <w14:solidFill>
            <w14:schemeClr w14:val="tx1"/>
          </w14:solidFill>
        </w14:textFill>
      </w:rPr>
      <w:instrText xml:space="preserve">PAGE   \* MERGEFORMAT</w:instrText>
    </w:r>
    <w:r>
      <w:rPr>
        <w:rFonts w:ascii="Times New Roman" w:hAnsi="Times New Roman"/>
        <w:caps/>
        <w:color w:val="000000" w:themeColor="text1"/>
        <w14:textFill>
          <w14:solidFill>
            <w14:schemeClr w14:val="tx1"/>
          </w14:solidFill>
        </w14:textFill>
      </w:rPr>
      <w:fldChar w:fldCharType="separate"/>
    </w:r>
    <w:r>
      <w:rPr>
        <w:rFonts w:ascii="Times New Roman" w:hAnsi="Times New Roman"/>
        <w:caps/>
        <w:color w:val="000000" w:themeColor="text1"/>
        <w:lang w:val="zh-CN"/>
        <w14:textFill>
          <w14:solidFill>
            <w14:schemeClr w14:val="tx1"/>
          </w14:solidFill>
        </w14:textFill>
      </w:rPr>
      <w:t>7</w:t>
    </w:r>
    <w:r>
      <w:rPr>
        <w:rFonts w:ascii="Times New Roman" w:hAnsi="Times New Roman"/>
        <w:caps/>
        <w:color w:val="000000" w:themeColor="text1"/>
        <w14:textFill>
          <w14:solidFill>
            <w14:schemeClr w14:val="tx1"/>
          </w14:solidFill>
        </w14:textFil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62DD7">
    <w:pPr>
      <w:spacing w:line="240" w:lineRule="auto"/>
      <w:jc w:val="right"/>
      <w:rPr>
        <w:rFonts w:ascii="Times New Roman" w:hAnsi="Times New Roman" w:eastAsia="黑体"/>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77D93">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71546">
    <w:pPr>
      <w:pStyle w:val="1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D6F68">
    <w:pPr>
      <w:spacing w:after="284" w:line="240" w:lineRule="auto"/>
      <w:jc w:val="right"/>
      <w:rPr>
        <w:rFonts w:ascii="Times New Roman" w:hAnsi="Times New Roman" w:eastAsia="黑体"/>
        <w:b/>
      </w:rPr>
    </w:pPr>
    <w:r>
      <w:rPr>
        <w:rFonts w:ascii="Times New Roman" w:hAnsi="Times New Roman" w:eastAsia="黑体"/>
        <w:b/>
      </w:rPr>
      <w:t>T/CMES 1.1</w:t>
    </w:r>
    <w:r>
      <w:rPr>
        <w:rFonts w:hint="eastAsia" w:ascii="Times New Roman" w:hAnsi="Times New Roman" w:eastAsia="黑体"/>
        <w:b/>
      </w:rPr>
      <w:t>—2</w:t>
    </w:r>
    <w:r>
      <w:rPr>
        <w:rFonts w:ascii="Times New Roman" w:hAnsi="Times New Roman" w:eastAsia="黑体"/>
        <w:b/>
      </w:rPr>
      <w:t>01X</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23E17">
    <w:pPr>
      <w:spacing w:after="284" w:line="240" w:lineRule="auto"/>
      <w:jc w:val="right"/>
      <w:rPr>
        <w:rFonts w:hint="default" w:ascii="Times New Roman" w:hAnsi="Times New Roman" w:eastAsia="黑体"/>
        <w:b/>
        <w:lang w:val="en-US"/>
      </w:rPr>
    </w:pPr>
    <w:r>
      <w:rPr>
        <w:rFonts w:hint="default" w:ascii="Times New Roman" w:hAnsi="Times New Roman" w:eastAsia="黑体"/>
        <w:b/>
        <w:lang w:val="en-US"/>
      </w:rPr>
      <w:t>T/ZGDLXH JH—009—2025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4531C">
    <w:pPr>
      <w:spacing w:after="284" w:line="240" w:lineRule="auto"/>
      <w:jc w:val="center"/>
      <w:rPr>
        <w:rFonts w:ascii="Times New Roman" w:hAnsi="Times New Roman" w:eastAsia="黑体"/>
        <w:b/>
      </w:rPr>
    </w:pPr>
    <w:r>
      <w:rPr>
        <w:rFonts w:hint="eastAsia" w:ascii="Times New Roman" w:hAnsi="Times New Roman" w:eastAsia="黑体"/>
        <w:b/>
      </w:rPr>
      <w:t xml:space="preserve">                                                             T/ZGDLXH JH—009—2025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CA640">
    <w:pPr>
      <w:spacing w:after="284" w:line="240" w:lineRule="auto"/>
      <w:ind w:firstLine="6535" w:firstLineChars="3100"/>
      <w:jc w:val="left"/>
      <w:rPr>
        <w:rFonts w:ascii="Times New Roman" w:hAnsi="Times New Roman" w:eastAsia="黑体"/>
        <w:b/>
      </w:rPr>
    </w:pPr>
    <w:r>
      <w:rPr>
        <w:rFonts w:ascii="Times New Roman" w:hAnsi="Times New Roman" w:eastAsia="黑体"/>
        <w:b/>
      </w:rPr>
      <w:t>T/</w:t>
    </w:r>
    <w:r>
      <w:rPr>
        <w:rFonts w:hint="eastAsia" w:ascii="Times New Roman" w:hAnsi="Times New Roman" w:eastAsia="黑体"/>
        <w:b/>
      </w:rPr>
      <w:t xml:space="preserve">ZGDLXH </w:t>
    </w:r>
    <w:r>
      <w:rPr>
        <w:rFonts w:ascii="Times New Roman" w:hAnsi="Times New Roman" w:eastAsia="黑体"/>
        <w:b/>
      </w:rPr>
      <w:t>XXX—XXXX</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C9142">
    <w:pPr>
      <w:spacing w:after="284" w:line="240" w:lineRule="auto"/>
      <w:jc w:val="right"/>
      <w:rPr>
        <w:rFonts w:hint="default" w:ascii="Times New Roman" w:hAnsi="Times New Roman" w:eastAsia="黑体"/>
        <w:b/>
        <w:lang w:val="en-US"/>
      </w:rPr>
    </w:pPr>
    <w:r>
      <w:rPr>
        <w:rFonts w:ascii="Times New Roman" w:hAnsi="Times New Roman" w:eastAsia="黑体"/>
        <w:b/>
      </w:rPr>
      <w:t>T/</w:t>
    </w:r>
    <w:r>
      <w:rPr>
        <w:rFonts w:hint="eastAsia" w:ascii="Times New Roman" w:hAnsi="Times New Roman" w:eastAsia="黑体"/>
        <w:b/>
      </w:rPr>
      <w:t xml:space="preserve">ZGDLXH </w:t>
    </w:r>
    <w:r>
      <w:rPr>
        <w:rFonts w:hint="eastAsia" w:ascii="Times New Roman" w:hAnsi="Times New Roman" w:eastAsia="黑体"/>
        <w:b/>
        <w:lang w:val="en-US" w:eastAsia="zh-CN"/>
      </w:rPr>
      <w:t>JH</w:t>
    </w:r>
    <w:r>
      <w:rPr>
        <w:rFonts w:ascii="Times New Roman" w:hAnsi="Times New Roman" w:eastAsia="黑体"/>
        <w:b/>
      </w:rPr>
      <w:t>—</w:t>
    </w:r>
    <w:r>
      <w:rPr>
        <w:rFonts w:hint="eastAsia" w:ascii="Times New Roman" w:hAnsi="Times New Roman" w:eastAsia="黑体"/>
        <w:b/>
        <w:lang w:val="en-US" w:eastAsia="zh-CN"/>
      </w:rPr>
      <w:t>009—2025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3C2409"/>
    <w:multiLevelType w:val="multilevel"/>
    <w:tmpl w:val="1E3C2409"/>
    <w:lvl w:ilvl="0" w:tentative="0">
      <w:start w:val="1"/>
      <w:numFmt w:val="lowerLetter"/>
      <w:pStyle w:val="70"/>
      <w:lvlText w:val="%1)"/>
      <w:lvlJc w:val="left"/>
      <w:pPr>
        <w:ind w:left="780" w:hanging="360"/>
      </w:pPr>
      <w:rPr>
        <w:rFonts w:hint="default" w:cs="宋体"/>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2E32610F"/>
    <w:multiLevelType w:val="multilevel"/>
    <w:tmpl w:val="2E32610F"/>
    <w:lvl w:ilvl="0" w:tentative="0">
      <w:start w:val="1"/>
      <w:numFmt w:val="decimal"/>
      <w:pStyle w:val="69"/>
      <w:lvlText w:val="图%1 "/>
      <w:lvlJc w:val="left"/>
      <w:pPr>
        <w:ind w:left="220" w:hanging="420"/>
      </w:pPr>
      <w:rPr>
        <w:rFonts w:hint="default" w:ascii="Times New Roman" w:hAnsi="Times New Roman" w:eastAsia="黑体"/>
        <w:sz w:val="21"/>
      </w:rPr>
    </w:lvl>
    <w:lvl w:ilvl="1" w:tentative="0">
      <w:start w:val="1"/>
      <w:numFmt w:val="lowerLetter"/>
      <w:lvlText w:val="%2)"/>
      <w:lvlJc w:val="left"/>
      <w:pPr>
        <w:ind w:left="640" w:hanging="420"/>
      </w:pPr>
    </w:lvl>
    <w:lvl w:ilvl="2" w:tentative="0">
      <w:start w:val="1"/>
      <w:numFmt w:val="lowerRoman"/>
      <w:lvlText w:val="%3."/>
      <w:lvlJc w:val="right"/>
      <w:pPr>
        <w:ind w:left="1060" w:hanging="420"/>
      </w:pPr>
    </w:lvl>
    <w:lvl w:ilvl="3" w:tentative="0">
      <w:start w:val="1"/>
      <w:numFmt w:val="decimal"/>
      <w:lvlText w:val="%4."/>
      <w:lvlJc w:val="left"/>
      <w:pPr>
        <w:ind w:left="1480" w:hanging="420"/>
      </w:pPr>
    </w:lvl>
    <w:lvl w:ilvl="4" w:tentative="0">
      <w:start w:val="1"/>
      <w:numFmt w:val="lowerLetter"/>
      <w:lvlText w:val="%5)"/>
      <w:lvlJc w:val="left"/>
      <w:pPr>
        <w:ind w:left="1900" w:hanging="420"/>
      </w:pPr>
    </w:lvl>
    <w:lvl w:ilvl="5" w:tentative="0">
      <w:start w:val="1"/>
      <w:numFmt w:val="lowerRoman"/>
      <w:lvlText w:val="%6."/>
      <w:lvlJc w:val="right"/>
      <w:pPr>
        <w:ind w:left="2320" w:hanging="420"/>
      </w:pPr>
    </w:lvl>
    <w:lvl w:ilvl="6" w:tentative="0">
      <w:start w:val="1"/>
      <w:numFmt w:val="decimal"/>
      <w:lvlText w:val="%7."/>
      <w:lvlJc w:val="left"/>
      <w:pPr>
        <w:ind w:left="2740" w:hanging="420"/>
      </w:pPr>
    </w:lvl>
    <w:lvl w:ilvl="7" w:tentative="0">
      <w:start w:val="1"/>
      <w:numFmt w:val="lowerLetter"/>
      <w:lvlText w:val="%8)"/>
      <w:lvlJc w:val="left"/>
      <w:pPr>
        <w:ind w:left="3160" w:hanging="420"/>
      </w:pPr>
    </w:lvl>
    <w:lvl w:ilvl="8" w:tentative="0">
      <w:start w:val="1"/>
      <w:numFmt w:val="lowerRoman"/>
      <w:lvlText w:val="%9."/>
      <w:lvlJc w:val="right"/>
      <w:pPr>
        <w:ind w:left="3580" w:hanging="420"/>
      </w:pPr>
    </w:lvl>
  </w:abstractNum>
  <w:abstractNum w:abstractNumId="2">
    <w:nsid w:val="3D1C17D8"/>
    <w:multiLevelType w:val="multilevel"/>
    <w:tmpl w:val="3D1C17D8"/>
    <w:lvl w:ilvl="0" w:tentative="0">
      <w:start w:val="1"/>
      <w:numFmt w:val="decimal"/>
      <w:pStyle w:val="75"/>
      <w:lvlText w:val="表%1 "/>
      <w:lvlJc w:val="left"/>
      <w:pPr>
        <w:ind w:left="420" w:hanging="420"/>
      </w:pPr>
      <w:rPr>
        <w:rFonts w:hint="default" w:ascii="Times New Roman" w:hAnsi="Times New Roman" w:eastAsia="黑体"/>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57C2AF5"/>
    <w:multiLevelType w:val="multilevel"/>
    <w:tmpl w:val="557C2AF5"/>
    <w:lvl w:ilvl="0" w:tentative="0">
      <w:start w:val="1"/>
      <w:numFmt w:val="decimal"/>
      <w:pStyle w:val="93"/>
      <w:suff w:val="nothing"/>
      <w:lvlText w:val="图%1　"/>
      <w:lvlJc w:val="left"/>
      <w:rPr>
        <w:rFonts w:hint="eastAsia" w:ascii="黑体" w:hAnsi="Times New Roman" w:eastAsia="黑体"/>
        <w:b w:val="0"/>
        <w:bCs w:val="0"/>
        <w:i w:val="0"/>
        <w:iCs w:val="0"/>
        <w:sz w:val="21"/>
        <w:szCs w:val="21"/>
      </w:rPr>
    </w:lvl>
    <w:lvl w:ilvl="1" w:tentative="0">
      <w:start w:val="1"/>
      <w:numFmt w:val="decimal"/>
      <w:suff w:val="nothing"/>
      <w:lvlText w:val="%1%2　"/>
      <w:lvlJc w:val="left"/>
      <w:rPr>
        <w:rFonts w:hint="eastAsia" w:ascii="黑体" w:hAnsi="Times New Roman" w:eastAsia="黑体"/>
        <w:b w:val="0"/>
        <w:bCs w:val="0"/>
        <w:i w:val="0"/>
        <w:iCs w:val="0"/>
        <w:sz w:val="21"/>
        <w:szCs w:val="21"/>
      </w:rPr>
    </w:lvl>
    <w:lvl w:ilvl="2" w:tentative="0">
      <w:start w:val="1"/>
      <w:numFmt w:val="decimal"/>
      <w:suff w:val="nothing"/>
      <w:lvlText w:val="%1%2.%3　"/>
      <w:lvlJc w:val="left"/>
      <w:rPr>
        <w:rFonts w:hint="eastAsia" w:ascii="黑体" w:hAnsi="Times New Roman" w:eastAsia="黑体"/>
        <w:b w:val="0"/>
        <w:bCs w:val="0"/>
        <w:i w:val="0"/>
        <w:iCs w:val="0"/>
        <w:sz w:val="21"/>
        <w:szCs w:val="21"/>
      </w:rPr>
    </w:lvl>
    <w:lvl w:ilvl="3" w:tentative="0">
      <w:start w:val="1"/>
      <w:numFmt w:val="decimal"/>
      <w:suff w:val="nothing"/>
      <w:lvlText w:val="%1%2.%3.%4　"/>
      <w:lvlJc w:val="left"/>
      <w:rPr>
        <w:rFonts w:hint="eastAsia" w:ascii="黑体" w:hAnsi="Times New Roman" w:eastAsia="黑体"/>
        <w:b w:val="0"/>
        <w:bCs w:val="0"/>
        <w:i w:val="0"/>
        <w:iCs w:val="0"/>
        <w:sz w:val="21"/>
        <w:szCs w:val="21"/>
      </w:rPr>
    </w:lvl>
    <w:lvl w:ilvl="4" w:tentative="0">
      <w:start w:val="1"/>
      <w:numFmt w:val="decimal"/>
      <w:suff w:val="nothing"/>
      <w:lvlText w:val="%1%2.%3.%4.%5　"/>
      <w:lvlJc w:val="left"/>
      <w:rPr>
        <w:rFonts w:hint="eastAsia" w:ascii="黑体" w:hAnsi="Times New Roman" w:eastAsia="黑体"/>
        <w:b w:val="0"/>
        <w:bCs w:val="0"/>
        <w:i w:val="0"/>
        <w:iCs w:val="0"/>
        <w:sz w:val="21"/>
        <w:szCs w:val="21"/>
      </w:rPr>
    </w:lvl>
    <w:lvl w:ilvl="5" w:tentative="0">
      <w:start w:val="1"/>
      <w:numFmt w:val="decimal"/>
      <w:suff w:val="nothing"/>
      <w:lvlText w:val="%1%2.%3.%4.%5.%6　"/>
      <w:lvlJc w:val="left"/>
      <w:rPr>
        <w:rFonts w:hint="eastAsia" w:ascii="黑体" w:hAnsi="Times New Roman" w:eastAsia="黑体"/>
        <w:b w:val="0"/>
        <w:bCs w:val="0"/>
        <w:i w:val="0"/>
        <w:iCs w:val="0"/>
        <w:sz w:val="21"/>
        <w:szCs w:val="21"/>
      </w:rPr>
    </w:lvl>
    <w:lvl w:ilvl="6" w:tentative="0">
      <w:start w:val="1"/>
      <w:numFmt w:val="decimal"/>
      <w:suff w:val="nothing"/>
      <w:lvlText w:val="%1%2.%3.%4.%5.%6.%7　"/>
      <w:lvlJc w:val="left"/>
      <w:rPr>
        <w:rFonts w:hint="eastAsia" w:ascii="黑体" w:hAnsi="Times New Roman" w:eastAsia="黑体"/>
        <w:b w:val="0"/>
        <w:bCs w:val="0"/>
        <w:i w:val="0"/>
        <w:iCs w:val="0"/>
        <w:sz w:val="21"/>
        <w:szCs w:val="21"/>
      </w:rPr>
    </w:lvl>
    <w:lvl w:ilvl="7" w:tentative="0">
      <w:start w:val="1"/>
      <w:numFmt w:val="decimal"/>
      <w:lvlText w:val="%1.%2.%3.%4.%5.%6.%7.%8"/>
      <w:lvlJc w:val="left"/>
      <w:pPr>
        <w:tabs>
          <w:tab w:val="left" w:pos="4348"/>
        </w:tabs>
        <w:ind w:left="3969" w:hanging="1418"/>
      </w:pPr>
      <w:rPr>
        <w:rFonts w:hint="eastAsia" w:ascii="宋体" w:hAnsi="宋体" w:eastAsia="宋体"/>
        <w:sz w:val="24"/>
        <w:szCs w:val="24"/>
      </w:rPr>
    </w:lvl>
    <w:lvl w:ilvl="8" w:tentative="0">
      <w:start w:val="1"/>
      <w:numFmt w:val="decimal"/>
      <w:lvlText w:val="%1.%2.%3.%4.%5.%6.%7.%8.%9"/>
      <w:lvlJc w:val="left"/>
      <w:pPr>
        <w:tabs>
          <w:tab w:val="left" w:pos="4774"/>
        </w:tabs>
        <w:ind w:left="4677" w:hanging="1701"/>
      </w:pPr>
      <w:rPr>
        <w:rFonts w:hint="eastAsia" w:ascii="Times New Roman" w:hAnsi="Times New Roman" w:cs="Times New Roman"/>
        <w:sz w:val="24"/>
        <w:szCs w:val="24"/>
      </w:rPr>
    </w:lvl>
  </w:abstractNum>
  <w:abstractNum w:abstractNumId="4">
    <w:nsid w:val="591079F2"/>
    <w:multiLevelType w:val="multilevel"/>
    <w:tmpl w:val="591079F2"/>
    <w:lvl w:ilvl="0" w:tentative="0">
      <w:start w:val="1"/>
      <w:numFmt w:val="decimal"/>
      <w:pStyle w:val="100"/>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6CEA2025"/>
    <w:multiLevelType w:val="multilevel"/>
    <w:tmpl w:val="6CEA2025"/>
    <w:lvl w:ilvl="0" w:tentative="0">
      <w:start w:val="1"/>
      <w:numFmt w:val="none"/>
      <w:pStyle w:val="54"/>
      <w:suff w:val="nothing"/>
      <w:lvlText w:val="%1"/>
      <w:lvlJc w:val="left"/>
      <w:rPr>
        <w:rFonts w:hint="default" w:ascii="Times New Roman" w:hAnsi="Times New Roman" w:cs="Times New Roman"/>
        <w:b/>
        <w:bCs/>
        <w:i w:val="0"/>
        <w:iCs w:val="0"/>
        <w:sz w:val="21"/>
        <w:szCs w:val="21"/>
      </w:rPr>
    </w:lvl>
    <w:lvl w:ilvl="1" w:tentative="0">
      <w:start w:val="1"/>
      <w:numFmt w:val="decimal"/>
      <w:pStyle w:val="41"/>
      <w:suff w:val="nothing"/>
      <w:lvlText w:val="%1%2　"/>
      <w:lvlJc w:val="left"/>
      <w:rPr>
        <w:rFonts w:hint="eastAsia" w:ascii="黑体" w:hAnsi="Times New Roman" w:eastAsia="黑体"/>
        <w:b w:val="0"/>
        <w:bCs w:val="0"/>
        <w:i w:val="0"/>
        <w:iCs w:val="0"/>
        <w:sz w:val="21"/>
        <w:szCs w:val="21"/>
      </w:rPr>
    </w:lvl>
    <w:lvl w:ilvl="2" w:tentative="0">
      <w:start w:val="1"/>
      <w:numFmt w:val="decimal"/>
      <w:pStyle w:val="53"/>
      <w:suff w:val="nothing"/>
      <w:lvlText w:val="%1%2.%3　"/>
      <w:lvlJc w:val="left"/>
      <w:rPr>
        <w:rFonts w:hint="eastAsia" w:ascii="黑体" w:hAnsi="Times New Roman" w:eastAsia="黑体"/>
        <w:b w:val="0"/>
        <w:bCs w:val="0"/>
        <w:i w:val="0"/>
        <w:iCs w:val="0"/>
        <w:sz w:val="21"/>
        <w:szCs w:val="21"/>
      </w:rPr>
    </w:lvl>
    <w:lvl w:ilvl="3" w:tentative="0">
      <w:start w:val="1"/>
      <w:numFmt w:val="decimal"/>
      <w:pStyle w:val="49"/>
      <w:suff w:val="nothing"/>
      <w:lvlText w:val="%1%2.%3.%4　"/>
      <w:lvlJc w:val="left"/>
      <w:rPr>
        <w:rFonts w:hint="eastAsia" w:ascii="黑体" w:hAnsi="Times New Roman" w:eastAsia="黑体"/>
        <w:b w:val="0"/>
        <w:bCs w:val="0"/>
        <w:i w:val="0"/>
        <w:iCs w:val="0"/>
        <w:sz w:val="21"/>
        <w:szCs w:val="21"/>
      </w:rPr>
    </w:lvl>
    <w:lvl w:ilvl="4" w:tentative="0">
      <w:start w:val="1"/>
      <w:numFmt w:val="decimal"/>
      <w:pStyle w:val="50"/>
      <w:suff w:val="nothing"/>
      <w:lvlText w:val="%1%2.%3.%4.%5　"/>
      <w:lvlJc w:val="left"/>
      <w:rPr>
        <w:rFonts w:hint="eastAsia" w:ascii="黑体" w:hAnsi="Times New Roman" w:eastAsia="黑体"/>
        <w:b w:val="0"/>
        <w:bCs w:val="0"/>
        <w:i w:val="0"/>
        <w:iCs w:val="0"/>
        <w:sz w:val="21"/>
        <w:szCs w:val="21"/>
      </w:rPr>
    </w:lvl>
    <w:lvl w:ilvl="5" w:tentative="0">
      <w:start w:val="1"/>
      <w:numFmt w:val="decimal"/>
      <w:pStyle w:val="51"/>
      <w:suff w:val="nothing"/>
      <w:lvlText w:val="%1%2.%3.%4.%5.%6　"/>
      <w:lvlJc w:val="left"/>
      <w:rPr>
        <w:rFonts w:hint="eastAsia" w:ascii="黑体" w:hAnsi="Times New Roman" w:eastAsia="黑体"/>
        <w:b w:val="0"/>
        <w:bCs w:val="0"/>
        <w:i w:val="0"/>
        <w:iCs w:val="0"/>
        <w:sz w:val="21"/>
        <w:szCs w:val="21"/>
      </w:rPr>
    </w:lvl>
    <w:lvl w:ilvl="6" w:tentative="0">
      <w:start w:val="1"/>
      <w:numFmt w:val="decimal"/>
      <w:pStyle w:val="52"/>
      <w:suff w:val="nothing"/>
      <w:lvlText w:val="%1%2.%3.%4.%5.%6.%7　"/>
      <w:lvlJc w:val="left"/>
      <w:rPr>
        <w:rFonts w:hint="eastAsia" w:ascii="黑体" w:hAnsi="Times New Roman" w:eastAsia="黑体"/>
        <w:b w:val="0"/>
        <w:bCs w:val="0"/>
        <w:i w:val="0"/>
        <w:iCs w:val="0"/>
        <w:sz w:val="21"/>
        <w:szCs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5"/>
  </w:num>
  <w:num w:numId="2">
    <w:abstractNumId w:val="1"/>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YwZDZiM2Q2ZjM0MzY5MzNlZGQxNDlkNjJlMjY1ZDIifQ=="/>
  </w:docVars>
  <w:rsids>
    <w:rsidRoot w:val="00197850"/>
    <w:rsid w:val="00031BBE"/>
    <w:rsid w:val="000329E5"/>
    <w:rsid w:val="000339ED"/>
    <w:rsid w:val="000346B1"/>
    <w:rsid w:val="00034B41"/>
    <w:rsid w:val="00034D05"/>
    <w:rsid w:val="00035441"/>
    <w:rsid w:val="00042A58"/>
    <w:rsid w:val="00043BBF"/>
    <w:rsid w:val="0004662A"/>
    <w:rsid w:val="00054640"/>
    <w:rsid w:val="000579A2"/>
    <w:rsid w:val="0007115C"/>
    <w:rsid w:val="00072F18"/>
    <w:rsid w:val="0007369E"/>
    <w:rsid w:val="00075356"/>
    <w:rsid w:val="00082CDB"/>
    <w:rsid w:val="00092CE7"/>
    <w:rsid w:val="00093BF9"/>
    <w:rsid w:val="000A66A4"/>
    <w:rsid w:val="000B3DA7"/>
    <w:rsid w:val="000B6447"/>
    <w:rsid w:val="000C1C22"/>
    <w:rsid w:val="000C2041"/>
    <w:rsid w:val="000C7161"/>
    <w:rsid w:val="000D3E2B"/>
    <w:rsid w:val="000E09FA"/>
    <w:rsid w:val="000E3135"/>
    <w:rsid w:val="000E4331"/>
    <w:rsid w:val="000E6270"/>
    <w:rsid w:val="000F28A2"/>
    <w:rsid w:val="00101A4B"/>
    <w:rsid w:val="001049A4"/>
    <w:rsid w:val="0010598C"/>
    <w:rsid w:val="00112D7D"/>
    <w:rsid w:val="00114A66"/>
    <w:rsid w:val="00114D03"/>
    <w:rsid w:val="001206E3"/>
    <w:rsid w:val="00125C53"/>
    <w:rsid w:val="00126DF5"/>
    <w:rsid w:val="001310BF"/>
    <w:rsid w:val="00136997"/>
    <w:rsid w:val="00145B60"/>
    <w:rsid w:val="00153FFF"/>
    <w:rsid w:val="0015626C"/>
    <w:rsid w:val="001611F4"/>
    <w:rsid w:val="001618D1"/>
    <w:rsid w:val="001622E6"/>
    <w:rsid w:val="00172B3E"/>
    <w:rsid w:val="00177F1B"/>
    <w:rsid w:val="00181276"/>
    <w:rsid w:val="00182A98"/>
    <w:rsid w:val="00185BB7"/>
    <w:rsid w:val="00185F6F"/>
    <w:rsid w:val="00197850"/>
    <w:rsid w:val="001B388C"/>
    <w:rsid w:val="001B6A62"/>
    <w:rsid w:val="001C0AE4"/>
    <w:rsid w:val="001C626A"/>
    <w:rsid w:val="001C7C17"/>
    <w:rsid w:val="001D77DA"/>
    <w:rsid w:val="001D7C7B"/>
    <w:rsid w:val="001D7EF2"/>
    <w:rsid w:val="001E57FE"/>
    <w:rsid w:val="001F66A7"/>
    <w:rsid w:val="001F6E8B"/>
    <w:rsid w:val="00201A9F"/>
    <w:rsid w:val="00226ABA"/>
    <w:rsid w:val="00230E80"/>
    <w:rsid w:val="002369AD"/>
    <w:rsid w:val="0024058F"/>
    <w:rsid w:val="00241071"/>
    <w:rsid w:val="002424D8"/>
    <w:rsid w:val="00257D51"/>
    <w:rsid w:val="002608C6"/>
    <w:rsid w:val="00265E44"/>
    <w:rsid w:val="00272374"/>
    <w:rsid w:val="00277943"/>
    <w:rsid w:val="00282AF2"/>
    <w:rsid w:val="00287943"/>
    <w:rsid w:val="00292A94"/>
    <w:rsid w:val="0029324D"/>
    <w:rsid w:val="0029450A"/>
    <w:rsid w:val="00294D30"/>
    <w:rsid w:val="002A1CB1"/>
    <w:rsid w:val="002A518B"/>
    <w:rsid w:val="002A7A5B"/>
    <w:rsid w:val="002B2331"/>
    <w:rsid w:val="002B2C50"/>
    <w:rsid w:val="002B5D03"/>
    <w:rsid w:val="002C1E25"/>
    <w:rsid w:val="002C7B57"/>
    <w:rsid w:val="002D5564"/>
    <w:rsid w:val="002D664B"/>
    <w:rsid w:val="002E30B8"/>
    <w:rsid w:val="002E68C8"/>
    <w:rsid w:val="002F1FE6"/>
    <w:rsid w:val="002F7E53"/>
    <w:rsid w:val="003008C9"/>
    <w:rsid w:val="00300F34"/>
    <w:rsid w:val="0030463B"/>
    <w:rsid w:val="00305645"/>
    <w:rsid w:val="0031575C"/>
    <w:rsid w:val="00316932"/>
    <w:rsid w:val="0032733A"/>
    <w:rsid w:val="00333C16"/>
    <w:rsid w:val="0033755E"/>
    <w:rsid w:val="00352F36"/>
    <w:rsid w:val="00353DD1"/>
    <w:rsid w:val="00355979"/>
    <w:rsid w:val="00355B99"/>
    <w:rsid w:val="003715B7"/>
    <w:rsid w:val="00380F86"/>
    <w:rsid w:val="00394E36"/>
    <w:rsid w:val="00397B83"/>
    <w:rsid w:val="003A125E"/>
    <w:rsid w:val="003A24BE"/>
    <w:rsid w:val="003A73B5"/>
    <w:rsid w:val="003B392B"/>
    <w:rsid w:val="003C3CCA"/>
    <w:rsid w:val="003D38B7"/>
    <w:rsid w:val="003D402A"/>
    <w:rsid w:val="003D5692"/>
    <w:rsid w:val="003D63E2"/>
    <w:rsid w:val="003D6612"/>
    <w:rsid w:val="003E1BCE"/>
    <w:rsid w:val="003E2628"/>
    <w:rsid w:val="003F084C"/>
    <w:rsid w:val="003F3C99"/>
    <w:rsid w:val="003F4FA2"/>
    <w:rsid w:val="003F6396"/>
    <w:rsid w:val="00403B8D"/>
    <w:rsid w:val="00414E97"/>
    <w:rsid w:val="00422CB4"/>
    <w:rsid w:val="00426BA0"/>
    <w:rsid w:val="00430482"/>
    <w:rsid w:val="004307CF"/>
    <w:rsid w:val="00432E59"/>
    <w:rsid w:val="00433433"/>
    <w:rsid w:val="004524E3"/>
    <w:rsid w:val="004707D2"/>
    <w:rsid w:val="004725A4"/>
    <w:rsid w:val="00472CBF"/>
    <w:rsid w:val="00476A50"/>
    <w:rsid w:val="0048019F"/>
    <w:rsid w:val="00480644"/>
    <w:rsid w:val="004843E7"/>
    <w:rsid w:val="00495E73"/>
    <w:rsid w:val="004A2A66"/>
    <w:rsid w:val="004A3C6A"/>
    <w:rsid w:val="004A4462"/>
    <w:rsid w:val="004A6B5B"/>
    <w:rsid w:val="004B62C8"/>
    <w:rsid w:val="004B695C"/>
    <w:rsid w:val="004C1995"/>
    <w:rsid w:val="004C5F51"/>
    <w:rsid w:val="004C60E0"/>
    <w:rsid w:val="004E415D"/>
    <w:rsid w:val="004F1453"/>
    <w:rsid w:val="004F1C31"/>
    <w:rsid w:val="004F398E"/>
    <w:rsid w:val="004F6362"/>
    <w:rsid w:val="0050399B"/>
    <w:rsid w:val="005100A7"/>
    <w:rsid w:val="00511CB1"/>
    <w:rsid w:val="005129CF"/>
    <w:rsid w:val="005140CA"/>
    <w:rsid w:val="0051518A"/>
    <w:rsid w:val="00520BEA"/>
    <w:rsid w:val="00521F0B"/>
    <w:rsid w:val="0052218B"/>
    <w:rsid w:val="00522922"/>
    <w:rsid w:val="00525B5F"/>
    <w:rsid w:val="0053188A"/>
    <w:rsid w:val="00532CFF"/>
    <w:rsid w:val="00534D99"/>
    <w:rsid w:val="00541077"/>
    <w:rsid w:val="00542E1B"/>
    <w:rsid w:val="005476B4"/>
    <w:rsid w:val="00547A24"/>
    <w:rsid w:val="0056177A"/>
    <w:rsid w:val="00561F9F"/>
    <w:rsid w:val="0057551E"/>
    <w:rsid w:val="005801BA"/>
    <w:rsid w:val="005840B2"/>
    <w:rsid w:val="005871F8"/>
    <w:rsid w:val="005B1A01"/>
    <w:rsid w:val="005B1BC3"/>
    <w:rsid w:val="005C5140"/>
    <w:rsid w:val="005C6120"/>
    <w:rsid w:val="005D28BA"/>
    <w:rsid w:val="005D2A9F"/>
    <w:rsid w:val="005E23F8"/>
    <w:rsid w:val="005E3620"/>
    <w:rsid w:val="005E3E62"/>
    <w:rsid w:val="005E6292"/>
    <w:rsid w:val="005F0442"/>
    <w:rsid w:val="005F7C28"/>
    <w:rsid w:val="00615FEF"/>
    <w:rsid w:val="00616CE4"/>
    <w:rsid w:val="006204DD"/>
    <w:rsid w:val="0062136E"/>
    <w:rsid w:val="006323F9"/>
    <w:rsid w:val="006409A1"/>
    <w:rsid w:val="006436FB"/>
    <w:rsid w:val="0064500D"/>
    <w:rsid w:val="0064763B"/>
    <w:rsid w:val="006617E6"/>
    <w:rsid w:val="00662A9E"/>
    <w:rsid w:val="0066634E"/>
    <w:rsid w:val="00670009"/>
    <w:rsid w:val="0067619F"/>
    <w:rsid w:val="006766B2"/>
    <w:rsid w:val="00680F62"/>
    <w:rsid w:val="00683A1B"/>
    <w:rsid w:val="00685450"/>
    <w:rsid w:val="00686E97"/>
    <w:rsid w:val="00691C76"/>
    <w:rsid w:val="00695866"/>
    <w:rsid w:val="006A473E"/>
    <w:rsid w:val="006A4AAC"/>
    <w:rsid w:val="006A637A"/>
    <w:rsid w:val="006B13F0"/>
    <w:rsid w:val="006B2A59"/>
    <w:rsid w:val="006B6381"/>
    <w:rsid w:val="006C1276"/>
    <w:rsid w:val="006C73B6"/>
    <w:rsid w:val="006C74E8"/>
    <w:rsid w:val="006C7AFC"/>
    <w:rsid w:val="006D2CDC"/>
    <w:rsid w:val="006D4167"/>
    <w:rsid w:val="006F4DFE"/>
    <w:rsid w:val="006F6631"/>
    <w:rsid w:val="00701791"/>
    <w:rsid w:val="00704BD6"/>
    <w:rsid w:val="0070625B"/>
    <w:rsid w:val="0071776D"/>
    <w:rsid w:val="00734846"/>
    <w:rsid w:val="00735EA5"/>
    <w:rsid w:val="007465BC"/>
    <w:rsid w:val="00752A9B"/>
    <w:rsid w:val="0075419A"/>
    <w:rsid w:val="007656F8"/>
    <w:rsid w:val="007669B3"/>
    <w:rsid w:val="007741F4"/>
    <w:rsid w:val="00784C08"/>
    <w:rsid w:val="00790330"/>
    <w:rsid w:val="00796D52"/>
    <w:rsid w:val="007A38E4"/>
    <w:rsid w:val="007A5351"/>
    <w:rsid w:val="007A777A"/>
    <w:rsid w:val="007B2AE6"/>
    <w:rsid w:val="007C575A"/>
    <w:rsid w:val="007D3060"/>
    <w:rsid w:val="007D6112"/>
    <w:rsid w:val="007F10D9"/>
    <w:rsid w:val="007F3EC3"/>
    <w:rsid w:val="00804C51"/>
    <w:rsid w:val="00804D11"/>
    <w:rsid w:val="00815459"/>
    <w:rsid w:val="00820C97"/>
    <w:rsid w:val="00821F71"/>
    <w:rsid w:val="008263E9"/>
    <w:rsid w:val="008323A5"/>
    <w:rsid w:val="0084197B"/>
    <w:rsid w:val="00845083"/>
    <w:rsid w:val="00847610"/>
    <w:rsid w:val="008528DB"/>
    <w:rsid w:val="00855261"/>
    <w:rsid w:val="00855A59"/>
    <w:rsid w:val="0086041A"/>
    <w:rsid w:val="00866749"/>
    <w:rsid w:val="00871BFB"/>
    <w:rsid w:val="0087534F"/>
    <w:rsid w:val="00876C1C"/>
    <w:rsid w:val="00886D1D"/>
    <w:rsid w:val="00890A5A"/>
    <w:rsid w:val="008962A2"/>
    <w:rsid w:val="008A146A"/>
    <w:rsid w:val="008B46EA"/>
    <w:rsid w:val="008C0620"/>
    <w:rsid w:val="008C3961"/>
    <w:rsid w:val="008C3D80"/>
    <w:rsid w:val="008C5B46"/>
    <w:rsid w:val="008C7EA2"/>
    <w:rsid w:val="008D37F6"/>
    <w:rsid w:val="008D709B"/>
    <w:rsid w:val="008E020F"/>
    <w:rsid w:val="008F2C17"/>
    <w:rsid w:val="00901E18"/>
    <w:rsid w:val="009073EE"/>
    <w:rsid w:val="0093006A"/>
    <w:rsid w:val="009351B7"/>
    <w:rsid w:val="00944BA6"/>
    <w:rsid w:val="00956159"/>
    <w:rsid w:val="009577B2"/>
    <w:rsid w:val="00960259"/>
    <w:rsid w:val="0096092C"/>
    <w:rsid w:val="00987955"/>
    <w:rsid w:val="00995A0A"/>
    <w:rsid w:val="009A2B38"/>
    <w:rsid w:val="009A3750"/>
    <w:rsid w:val="009A6675"/>
    <w:rsid w:val="009A7808"/>
    <w:rsid w:val="009B3910"/>
    <w:rsid w:val="009B4859"/>
    <w:rsid w:val="009C3B90"/>
    <w:rsid w:val="009C3E12"/>
    <w:rsid w:val="009D51F9"/>
    <w:rsid w:val="009F2EFC"/>
    <w:rsid w:val="009F3D9E"/>
    <w:rsid w:val="00A03B1E"/>
    <w:rsid w:val="00A0619D"/>
    <w:rsid w:val="00A06259"/>
    <w:rsid w:val="00A11371"/>
    <w:rsid w:val="00A13E8C"/>
    <w:rsid w:val="00A150FE"/>
    <w:rsid w:val="00A30394"/>
    <w:rsid w:val="00A3378D"/>
    <w:rsid w:val="00A34362"/>
    <w:rsid w:val="00A34615"/>
    <w:rsid w:val="00A41FD8"/>
    <w:rsid w:val="00A431D7"/>
    <w:rsid w:val="00A45401"/>
    <w:rsid w:val="00A51F65"/>
    <w:rsid w:val="00A65F94"/>
    <w:rsid w:val="00A6675C"/>
    <w:rsid w:val="00A734A6"/>
    <w:rsid w:val="00A736B3"/>
    <w:rsid w:val="00A75106"/>
    <w:rsid w:val="00A7685F"/>
    <w:rsid w:val="00A7729E"/>
    <w:rsid w:val="00A80191"/>
    <w:rsid w:val="00A81FF6"/>
    <w:rsid w:val="00A9477A"/>
    <w:rsid w:val="00AA12E2"/>
    <w:rsid w:val="00AA1CD8"/>
    <w:rsid w:val="00AA28E7"/>
    <w:rsid w:val="00AB3748"/>
    <w:rsid w:val="00AB7791"/>
    <w:rsid w:val="00AB7CF9"/>
    <w:rsid w:val="00AC0DFD"/>
    <w:rsid w:val="00AC3D90"/>
    <w:rsid w:val="00AC7A45"/>
    <w:rsid w:val="00AE34C0"/>
    <w:rsid w:val="00AE7E3A"/>
    <w:rsid w:val="00B07C01"/>
    <w:rsid w:val="00B10FE1"/>
    <w:rsid w:val="00B121CE"/>
    <w:rsid w:val="00B1305F"/>
    <w:rsid w:val="00B13D5F"/>
    <w:rsid w:val="00B142A4"/>
    <w:rsid w:val="00B15034"/>
    <w:rsid w:val="00B218BF"/>
    <w:rsid w:val="00B35BF1"/>
    <w:rsid w:val="00B41688"/>
    <w:rsid w:val="00B44106"/>
    <w:rsid w:val="00B47C4A"/>
    <w:rsid w:val="00B53A4F"/>
    <w:rsid w:val="00B66BF3"/>
    <w:rsid w:val="00B702B9"/>
    <w:rsid w:val="00B75CBB"/>
    <w:rsid w:val="00B84E0E"/>
    <w:rsid w:val="00B903CC"/>
    <w:rsid w:val="00B942A4"/>
    <w:rsid w:val="00BA1ED4"/>
    <w:rsid w:val="00BC0444"/>
    <w:rsid w:val="00BC36DD"/>
    <w:rsid w:val="00BC6347"/>
    <w:rsid w:val="00BD25CF"/>
    <w:rsid w:val="00BD3630"/>
    <w:rsid w:val="00BD4562"/>
    <w:rsid w:val="00BE5EE4"/>
    <w:rsid w:val="00BE6287"/>
    <w:rsid w:val="00BF51F3"/>
    <w:rsid w:val="00C00F56"/>
    <w:rsid w:val="00C01FEC"/>
    <w:rsid w:val="00C02604"/>
    <w:rsid w:val="00C07360"/>
    <w:rsid w:val="00C104DC"/>
    <w:rsid w:val="00C119AF"/>
    <w:rsid w:val="00C12581"/>
    <w:rsid w:val="00C13A39"/>
    <w:rsid w:val="00C15CE2"/>
    <w:rsid w:val="00C243E2"/>
    <w:rsid w:val="00C27BBD"/>
    <w:rsid w:val="00C33FF4"/>
    <w:rsid w:val="00C3647F"/>
    <w:rsid w:val="00C37C63"/>
    <w:rsid w:val="00C44C91"/>
    <w:rsid w:val="00C44F61"/>
    <w:rsid w:val="00C526A9"/>
    <w:rsid w:val="00C610BF"/>
    <w:rsid w:val="00C65CCF"/>
    <w:rsid w:val="00C66161"/>
    <w:rsid w:val="00C708C9"/>
    <w:rsid w:val="00C7325D"/>
    <w:rsid w:val="00C73CA9"/>
    <w:rsid w:val="00C81E41"/>
    <w:rsid w:val="00C842BC"/>
    <w:rsid w:val="00C91432"/>
    <w:rsid w:val="00C9652D"/>
    <w:rsid w:val="00CA6729"/>
    <w:rsid w:val="00CB08B7"/>
    <w:rsid w:val="00CB2FE2"/>
    <w:rsid w:val="00CB4B9D"/>
    <w:rsid w:val="00CC353E"/>
    <w:rsid w:val="00CC44A2"/>
    <w:rsid w:val="00CD0BA4"/>
    <w:rsid w:val="00CD2539"/>
    <w:rsid w:val="00CE60FE"/>
    <w:rsid w:val="00CF7756"/>
    <w:rsid w:val="00D00200"/>
    <w:rsid w:val="00D00379"/>
    <w:rsid w:val="00D06FAB"/>
    <w:rsid w:val="00D13566"/>
    <w:rsid w:val="00D14F82"/>
    <w:rsid w:val="00D2262B"/>
    <w:rsid w:val="00D31F86"/>
    <w:rsid w:val="00D330F7"/>
    <w:rsid w:val="00D528D6"/>
    <w:rsid w:val="00D64003"/>
    <w:rsid w:val="00D762DB"/>
    <w:rsid w:val="00D85617"/>
    <w:rsid w:val="00D85888"/>
    <w:rsid w:val="00D90BEE"/>
    <w:rsid w:val="00D93997"/>
    <w:rsid w:val="00D93FFB"/>
    <w:rsid w:val="00DB4D14"/>
    <w:rsid w:val="00DC2799"/>
    <w:rsid w:val="00DC28F0"/>
    <w:rsid w:val="00DC4163"/>
    <w:rsid w:val="00DC5F38"/>
    <w:rsid w:val="00DD0E44"/>
    <w:rsid w:val="00E067CE"/>
    <w:rsid w:val="00E06B7A"/>
    <w:rsid w:val="00E12492"/>
    <w:rsid w:val="00E14BB9"/>
    <w:rsid w:val="00E171AF"/>
    <w:rsid w:val="00E2179D"/>
    <w:rsid w:val="00E237C7"/>
    <w:rsid w:val="00E30241"/>
    <w:rsid w:val="00E44D5B"/>
    <w:rsid w:val="00E46224"/>
    <w:rsid w:val="00E620CA"/>
    <w:rsid w:val="00E65F3D"/>
    <w:rsid w:val="00E72F68"/>
    <w:rsid w:val="00E75461"/>
    <w:rsid w:val="00E76F7B"/>
    <w:rsid w:val="00E804CC"/>
    <w:rsid w:val="00E81DE7"/>
    <w:rsid w:val="00E82704"/>
    <w:rsid w:val="00E8641B"/>
    <w:rsid w:val="00E864A0"/>
    <w:rsid w:val="00E905D6"/>
    <w:rsid w:val="00E91A93"/>
    <w:rsid w:val="00E923FC"/>
    <w:rsid w:val="00E956F8"/>
    <w:rsid w:val="00EA20ED"/>
    <w:rsid w:val="00EA5A10"/>
    <w:rsid w:val="00EB1D74"/>
    <w:rsid w:val="00EB3828"/>
    <w:rsid w:val="00EB751A"/>
    <w:rsid w:val="00EB7539"/>
    <w:rsid w:val="00EC637E"/>
    <w:rsid w:val="00EC654B"/>
    <w:rsid w:val="00EC79BA"/>
    <w:rsid w:val="00ED18F5"/>
    <w:rsid w:val="00EF1925"/>
    <w:rsid w:val="00EF3547"/>
    <w:rsid w:val="00F05D07"/>
    <w:rsid w:val="00F23A03"/>
    <w:rsid w:val="00F32A10"/>
    <w:rsid w:val="00F33591"/>
    <w:rsid w:val="00F36CCA"/>
    <w:rsid w:val="00F36D91"/>
    <w:rsid w:val="00F53549"/>
    <w:rsid w:val="00F609D4"/>
    <w:rsid w:val="00F6181B"/>
    <w:rsid w:val="00F63FF2"/>
    <w:rsid w:val="00F642EC"/>
    <w:rsid w:val="00F64B4D"/>
    <w:rsid w:val="00F71C34"/>
    <w:rsid w:val="00F74EA2"/>
    <w:rsid w:val="00F754C9"/>
    <w:rsid w:val="00F849E0"/>
    <w:rsid w:val="00F875F0"/>
    <w:rsid w:val="00F90380"/>
    <w:rsid w:val="00F90A17"/>
    <w:rsid w:val="00F937DD"/>
    <w:rsid w:val="00F95B44"/>
    <w:rsid w:val="00FA004D"/>
    <w:rsid w:val="00FA4510"/>
    <w:rsid w:val="00FA5681"/>
    <w:rsid w:val="00FA7738"/>
    <w:rsid w:val="00FB3B49"/>
    <w:rsid w:val="00FB4877"/>
    <w:rsid w:val="00FE3976"/>
    <w:rsid w:val="00FE4811"/>
    <w:rsid w:val="00FF2248"/>
    <w:rsid w:val="00FF6BFC"/>
    <w:rsid w:val="01FD5F04"/>
    <w:rsid w:val="02C1356F"/>
    <w:rsid w:val="0B2738FC"/>
    <w:rsid w:val="17292C5B"/>
    <w:rsid w:val="18277CBF"/>
    <w:rsid w:val="2B6A6B46"/>
    <w:rsid w:val="36A738F6"/>
    <w:rsid w:val="38E44E3F"/>
    <w:rsid w:val="399F3FAF"/>
    <w:rsid w:val="39A93E39"/>
    <w:rsid w:val="3A485DA3"/>
    <w:rsid w:val="3AF64ADA"/>
    <w:rsid w:val="4E9C6801"/>
    <w:rsid w:val="5DD706C5"/>
    <w:rsid w:val="60672FB9"/>
    <w:rsid w:val="6B343627"/>
    <w:rsid w:val="743F1733"/>
    <w:rsid w:val="749E6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spacing w:line="400" w:lineRule="exact"/>
      <w:jc w:val="both"/>
    </w:pPr>
    <w:rPr>
      <w:rFonts w:ascii="Calibri" w:hAnsi="Calibri" w:eastAsia="宋体" w:cs="Calibri"/>
      <w:kern w:val="2"/>
      <w:sz w:val="21"/>
      <w:szCs w:val="21"/>
      <w:lang w:val="en-US" w:eastAsia="zh-CN" w:bidi="ar-SA"/>
    </w:rPr>
  </w:style>
  <w:style w:type="paragraph" w:styleId="2">
    <w:name w:val="heading 1"/>
    <w:basedOn w:val="1"/>
    <w:next w:val="1"/>
    <w:link w:val="30"/>
    <w:autoRedefine/>
    <w:qFormat/>
    <w:uiPriority w:val="9"/>
    <w:pPr>
      <w:keepNext/>
      <w:keepLines/>
      <w:spacing w:before="340" w:after="330" w:line="578" w:lineRule="atLeast"/>
      <w:outlineLvl w:val="0"/>
    </w:pPr>
    <w:rPr>
      <w:b/>
      <w:bCs/>
      <w:kern w:val="44"/>
      <w:sz w:val="44"/>
      <w:szCs w:val="44"/>
    </w:rPr>
  </w:style>
  <w:style w:type="paragraph" w:styleId="3">
    <w:name w:val="heading 2"/>
    <w:basedOn w:val="1"/>
    <w:next w:val="1"/>
    <w:link w:val="31"/>
    <w:autoRedefine/>
    <w:unhideWhenUsed/>
    <w:qFormat/>
    <w:uiPriority w:val="9"/>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4">
    <w:name w:val="heading 3"/>
    <w:basedOn w:val="1"/>
    <w:next w:val="1"/>
    <w:link w:val="32"/>
    <w:autoRedefine/>
    <w:unhideWhenUsed/>
    <w:qFormat/>
    <w:uiPriority w:val="9"/>
    <w:pPr>
      <w:keepNext/>
      <w:keepLines/>
      <w:spacing w:before="260" w:after="260" w:line="416" w:lineRule="atLeast"/>
      <w:outlineLvl w:val="2"/>
    </w:pPr>
    <w:rPr>
      <w:b/>
      <w:bCs/>
      <w:sz w:val="32"/>
      <w:szCs w:val="32"/>
    </w:rPr>
  </w:style>
  <w:style w:type="paragraph" w:styleId="5">
    <w:name w:val="heading 4"/>
    <w:basedOn w:val="1"/>
    <w:next w:val="1"/>
    <w:link w:val="33"/>
    <w:autoRedefine/>
    <w:unhideWhenUsed/>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paragraph" w:styleId="6">
    <w:name w:val="heading 5"/>
    <w:basedOn w:val="1"/>
    <w:next w:val="1"/>
    <w:link w:val="34"/>
    <w:autoRedefine/>
    <w:unhideWhenUsed/>
    <w:qFormat/>
    <w:uiPriority w:val="9"/>
    <w:pPr>
      <w:keepNext/>
      <w:keepLines/>
      <w:spacing w:before="280" w:after="290" w:line="376" w:lineRule="atLeast"/>
      <w:outlineLvl w:val="4"/>
    </w:pPr>
    <w:rPr>
      <w:b/>
      <w:bCs/>
      <w:sz w:val="28"/>
      <w:szCs w:val="28"/>
    </w:rPr>
  </w:style>
  <w:style w:type="paragraph" w:styleId="7">
    <w:name w:val="heading 6"/>
    <w:basedOn w:val="1"/>
    <w:next w:val="1"/>
    <w:link w:val="35"/>
    <w:autoRedefine/>
    <w:unhideWhenUsed/>
    <w:qFormat/>
    <w:uiPriority w:val="9"/>
    <w:pPr>
      <w:keepNext/>
      <w:keepLines/>
      <w:spacing w:before="240" w:after="64" w:line="320" w:lineRule="atLeast"/>
      <w:outlineLvl w:val="5"/>
    </w:pPr>
    <w:rPr>
      <w:rFonts w:asciiTheme="majorHAnsi" w:hAnsiTheme="majorHAnsi" w:eastAsiaTheme="majorEastAsia" w:cstheme="majorBidi"/>
      <w:b/>
      <w:bCs/>
      <w:sz w:val="24"/>
      <w:szCs w:val="24"/>
    </w:rPr>
  </w:style>
  <w:style w:type="paragraph" w:styleId="8">
    <w:name w:val="heading 7"/>
    <w:basedOn w:val="1"/>
    <w:next w:val="1"/>
    <w:link w:val="36"/>
    <w:autoRedefine/>
    <w:unhideWhenUsed/>
    <w:qFormat/>
    <w:uiPriority w:val="9"/>
    <w:pPr>
      <w:keepNext/>
      <w:keepLines/>
      <w:spacing w:before="240" w:after="64" w:line="320" w:lineRule="atLeast"/>
      <w:outlineLvl w:val="6"/>
    </w:pPr>
    <w:rPr>
      <w:b/>
      <w:bCs/>
      <w:sz w:val="24"/>
      <w:szCs w:val="24"/>
    </w:rPr>
  </w:style>
  <w:style w:type="paragraph" w:styleId="9">
    <w:name w:val="heading 8"/>
    <w:basedOn w:val="1"/>
    <w:next w:val="1"/>
    <w:link w:val="37"/>
    <w:autoRedefine/>
    <w:unhideWhenUsed/>
    <w:qFormat/>
    <w:uiPriority w:val="9"/>
    <w:pPr>
      <w:keepNext/>
      <w:keepLines/>
      <w:spacing w:before="240" w:after="64" w:line="320" w:lineRule="atLeast"/>
      <w:outlineLvl w:val="7"/>
    </w:pPr>
    <w:rPr>
      <w:rFonts w:asciiTheme="majorHAnsi" w:hAnsiTheme="majorHAnsi" w:eastAsiaTheme="majorEastAsia" w:cstheme="majorBidi"/>
      <w:sz w:val="24"/>
      <w:szCs w:val="24"/>
    </w:rPr>
  </w:style>
  <w:style w:type="paragraph" w:styleId="10">
    <w:name w:val="heading 9"/>
    <w:basedOn w:val="1"/>
    <w:next w:val="1"/>
    <w:link w:val="38"/>
    <w:autoRedefine/>
    <w:unhideWhenUsed/>
    <w:qFormat/>
    <w:uiPriority w:val="9"/>
    <w:pPr>
      <w:keepNext/>
      <w:keepLines/>
      <w:spacing w:before="240" w:after="64" w:line="320" w:lineRule="atLeast"/>
      <w:outlineLvl w:val="8"/>
    </w:pPr>
    <w:rPr>
      <w:rFonts w:asciiTheme="majorHAnsi" w:hAnsiTheme="majorHAnsi" w:eastAsiaTheme="majorEastAsia" w:cstheme="majorBidi"/>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86"/>
    <w:autoRedefine/>
    <w:unhideWhenUsed/>
    <w:qFormat/>
    <w:uiPriority w:val="0"/>
    <w:pPr>
      <w:adjustRightInd/>
      <w:spacing w:line="240" w:lineRule="auto"/>
      <w:jc w:val="left"/>
    </w:pPr>
    <w:rPr>
      <w:rFonts w:asciiTheme="minorHAnsi" w:hAnsiTheme="minorHAnsi" w:eastAsiaTheme="minorEastAsia" w:cstheme="minorBidi"/>
      <w:szCs w:val="24"/>
    </w:rPr>
  </w:style>
  <w:style w:type="paragraph" w:styleId="12">
    <w:name w:val="Balloon Text"/>
    <w:basedOn w:val="1"/>
    <w:link w:val="29"/>
    <w:autoRedefine/>
    <w:semiHidden/>
    <w:unhideWhenUsed/>
    <w:qFormat/>
    <w:uiPriority w:val="99"/>
    <w:pPr>
      <w:spacing w:line="240" w:lineRule="auto"/>
    </w:pPr>
    <w:rPr>
      <w:sz w:val="18"/>
      <w:szCs w:val="18"/>
    </w:rPr>
  </w:style>
  <w:style w:type="paragraph" w:styleId="13">
    <w:name w:val="footer"/>
    <w:basedOn w:val="1"/>
    <w:link w:val="28"/>
    <w:autoRedefine/>
    <w:unhideWhenUsed/>
    <w:qFormat/>
    <w:uiPriority w:val="99"/>
    <w:pPr>
      <w:tabs>
        <w:tab w:val="center" w:pos="4153"/>
        <w:tab w:val="right" w:pos="8306"/>
      </w:tabs>
      <w:snapToGrid w:val="0"/>
      <w:jc w:val="left"/>
    </w:pPr>
    <w:rPr>
      <w:sz w:val="18"/>
      <w:szCs w:val="18"/>
    </w:rPr>
  </w:style>
  <w:style w:type="paragraph" w:styleId="14">
    <w:name w:val="header"/>
    <w:basedOn w:val="1"/>
    <w:link w:val="27"/>
    <w:autoRedefine/>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5">
    <w:name w:val="toc 1"/>
    <w:basedOn w:val="1"/>
    <w:next w:val="1"/>
    <w:autoRedefine/>
    <w:unhideWhenUsed/>
    <w:qFormat/>
    <w:uiPriority w:val="39"/>
    <w:pPr>
      <w:tabs>
        <w:tab w:val="left" w:pos="567"/>
        <w:tab w:val="left" w:pos="840"/>
        <w:tab w:val="right" w:leader="dot" w:pos="9060"/>
      </w:tabs>
      <w:jc w:val="left"/>
    </w:pPr>
    <w:rPr>
      <w:rFonts w:ascii="Times New Roman" w:hAnsi="Times New Roman"/>
    </w:rPr>
  </w:style>
  <w:style w:type="paragraph" w:styleId="16">
    <w:name w:val="Subtitle"/>
    <w:basedOn w:val="1"/>
    <w:next w:val="1"/>
    <w:link w:val="44"/>
    <w:autoRedefine/>
    <w:qFormat/>
    <w:uiPriority w:val="11"/>
    <w:pPr>
      <w:spacing w:before="240" w:after="60" w:line="312" w:lineRule="atLeast"/>
      <w:jc w:val="center"/>
      <w:outlineLvl w:val="1"/>
    </w:pPr>
    <w:rPr>
      <w:rFonts w:asciiTheme="minorHAnsi" w:hAnsiTheme="minorHAnsi" w:eastAsiaTheme="minorEastAsia" w:cstheme="minorBidi"/>
      <w:b/>
      <w:bCs/>
      <w:kern w:val="28"/>
      <w:sz w:val="32"/>
      <w:szCs w:val="32"/>
    </w:rPr>
  </w:style>
  <w:style w:type="paragraph" w:styleId="17">
    <w:name w:val="table of figures"/>
    <w:basedOn w:val="1"/>
    <w:next w:val="1"/>
    <w:link w:val="71"/>
    <w:autoRedefine/>
    <w:semiHidden/>
    <w:unhideWhenUsed/>
    <w:qFormat/>
    <w:uiPriority w:val="99"/>
    <w:pPr>
      <w:ind w:left="200" w:leftChars="200" w:hanging="200" w:hangingChars="200"/>
    </w:pPr>
  </w:style>
  <w:style w:type="paragraph" w:styleId="18">
    <w:name w:val="toc 2"/>
    <w:basedOn w:val="1"/>
    <w:next w:val="1"/>
    <w:autoRedefine/>
    <w:unhideWhenUsed/>
    <w:qFormat/>
    <w:uiPriority w:val="39"/>
    <w:pPr>
      <w:ind w:left="420" w:leftChars="200"/>
    </w:pPr>
  </w:style>
  <w:style w:type="paragraph" w:styleId="19">
    <w:name w:val="Title"/>
    <w:basedOn w:val="1"/>
    <w:next w:val="1"/>
    <w:link w:val="39"/>
    <w:autoRedefine/>
    <w:qFormat/>
    <w:uiPriority w:val="10"/>
    <w:pPr>
      <w:spacing w:before="240" w:after="60"/>
      <w:jc w:val="center"/>
      <w:outlineLvl w:val="0"/>
    </w:pPr>
    <w:rPr>
      <w:rFonts w:asciiTheme="majorHAnsi" w:hAnsiTheme="majorHAnsi" w:eastAsiaTheme="majorEastAsia" w:cstheme="majorBidi"/>
      <w:b/>
      <w:bCs/>
      <w:sz w:val="32"/>
      <w:szCs w:val="32"/>
    </w:rPr>
  </w:style>
  <w:style w:type="paragraph" w:styleId="20">
    <w:name w:val="annotation subject"/>
    <w:basedOn w:val="11"/>
    <w:next w:val="11"/>
    <w:link w:val="112"/>
    <w:autoRedefine/>
    <w:semiHidden/>
    <w:unhideWhenUsed/>
    <w:qFormat/>
    <w:uiPriority w:val="99"/>
    <w:pPr>
      <w:adjustRightInd w:val="0"/>
      <w:spacing w:line="400" w:lineRule="exact"/>
    </w:pPr>
    <w:rPr>
      <w:rFonts w:ascii="Calibri" w:hAnsi="Calibri" w:eastAsia="宋体" w:cs="Calibri"/>
      <w:b/>
      <w:bCs/>
      <w:szCs w:val="21"/>
    </w:rPr>
  </w:style>
  <w:style w:type="table" w:styleId="22">
    <w:name w:val="Table Grid"/>
    <w:basedOn w:val="21"/>
    <w:autoRedefine/>
    <w:qFormat/>
    <w:uiPriority w:val="3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autoRedefine/>
    <w:qFormat/>
    <w:uiPriority w:val="0"/>
    <w:rPr>
      <w:rFonts w:ascii="宋体" w:hAnsi="Times New Roman" w:eastAsia="宋体" w:cs="宋体"/>
      <w:sz w:val="18"/>
      <w:szCs w:val="18"/>
    </w:rPr>
  </w:style>
  <w:style w:type="character" w:styleId="25">
    <w:name w:val="Hyperlink"/>
    <w:basedOn w:val="23"/>
    <w:autoRedefine/>
    <w:unhideWhenUsed/>
    <w:qFormat/>
    <w:uiPriority w:val="99"/>
    <w:rPr>
      <w:color w:val="0563C1" w:themeColor="hyperlink"/>
      <w:u w:val="single"/>
      <w14:textFill>
        <w14:solidFill>
          <w14:schemeClr w14:val="hlink"/>
        </w14:solidFill>
      </w14:textFill>
    </w:rPr>
  </w:style>
  <w:style w:type="character" w:styleId="26">
    <w:name w:val="annotation reference"/>
    <w:autoRedefine/>
    <w:unhideWhenUsed/>
    <w:qFormat/>
    <w:uiPriority w:val="0"/>
    <w:rPr>
      <w:sz w:val="21"/>
      <w:szCs w:val="21"/>
    </w:rPr>
  </w:style>
  <w:style w:type="character" w:customStyle="1" w:styleId="27">
    <w:name w:val="页眉 字符"/>
    <w:basedOn w:val="23"/>
    <w:link w:val="14"/>
    <w:autoRedefine/>
    <w:qFormat/>
    <w:uiPriority w:val="99"/>
    <w:rPr>
      <w:rFonts w:ascii="Calibri" w:hAnsi="Calibri" w:eastAsia="宋体" w:cs="Calibri"/>
      <w:sz w:val="18"/>
      <w:szCs w:val="18"/>
    </w:rPr>
  </w:style>
  <w:style w:type="character" w:customStyle="1" w:styleId="28">
    <w:name w:val="页脚 字符"/>
    <w:basedOn w:val="23"/>
    <w:link w:val="13"/>
    <w:autoRedefine/>
    <w:qFormat/>
    <w:uiPriority w:val="99"/>
    <w:rPr>
      <w:sz w:val="18"/>
      <w:szCs w:val="18"/>
    </w:rPr>
  </w:style>
  <w:style w:type="character" w:customStyle="1" w:styleId="29">
    <w:name w:val="批注框文本 字符"/>
    <w:basedOn w:val="23"/>
    <w:link w:val="12"/>
    <w:autoRedefine/>
    <w:semiHidden/>
    <w:qFormat/>
    <w:uiPriority w:val="99"/>
    <w:rPr>
      <w:rFonts w:ascii="Calibri" w:hAnsi="Calibri" w:eastAsia="宋体" w:cs="Calibri"/>
      <w:sz w:val="18"/>
      <w:szCs w:val="18"/>
    </w:rPr>
  </w:style>
  <w:style w:type="character" w:customStyle="1" w:styleId="30">
    <w:name w:val="标题 1 字符"/>
    <w:basedOn w:val="23"/>
    <w:link w:val="2"/>
    <w:autoRedefine/>
    <w:qFormat/>
    <w:uiPriority w:val="9"/>
    <w:rPr>
      <w:rFonts w:ascii="Calibri" w:hAnsi="Calibri" w:eastAsia="宋体" w:cs="Calibri"/>
      <w:b/>
      <w:bCs/>
      <w:kern w:val="44"/>
      <w:sz w:val="44"/>
      <w:szCs w:val="44"/>
    </w:rPr>
  </w:style>
  <w:style w:type="character" w:customStyle="1" w:styleId="31">
    <w:name w:val="标题 2 字符"/>
    <w:basedOn w:val="23"/>
    <w:link w:val="3"/>
    <w:autoRedefine/>
    <w:qFormat/>
    <w:uiPriority w:val="9"/>
    <w:rPr>
      <w:rFonts w:asciiTheme="majorHAnsi" w:hAnsiTheme="majorHAnsi" w:eastAsiaTheme="majorEastAsia" w:cstheme="majorBidi"/>
      <w:b/>
      <w:bCs/>
      <w:sz w:val="32"/>
      <w:szCs w:val="32"/>
    </w:rPr>
  </w:style>
  <w:style w:type="character" w:customStyle="1" w:styleId="32">
    <w:name w:val="标题 3 字符"/>
    <w:basedOn w:val="23"/>
    <w:link w:val="4"/>
    <w:autoRedefine/>
    <w:qFormat/>
    <w:uiPriority w:val="9"/>
    <w:rPr>
      <w:rFonts w:ascii="Calibri" w:hAnsi="Calibri" w:eastAsia="宋体" w:cs="Calibri"/>
      <w:b/>
      <w:bCs/>
      <w:sz w:val="32"/>
      <w:szCs w:val="32"/>
    </w:rPr>
  </w:style>
  <w:style w:type="character" w:customStyle="1" w:styleId="33">
    <w:name w:val="标题 4 字符"/>
    <w:basedOn w:val="23"/>
    <w:link w:val="5"/>
    <w:autoRedefine/>
    <w:qFormat/>
    <w:uiPriority w:val="9"/>
    <w:rPr>
      <w:rFonts w:asciiTheme="majorHAnsi" w:hAnsiTheme="majorHAnsi" w:eastAsiaTheme="majorEastAsia" w:cstheme="majorBidi"/>
      <w:b/>
      <w:bCs/>
      <w:sz w:val="28"/>
      <w:szCs w:val="28"/>
    </w:rPr>
  </w:style>
  <w:style w:type="character" w:customStyle="1" w:styleId="34">
    <w:name w:val="标题 5 字符"/>
    <w:basedOn w:val="23"/>
    <w:link w:val="6"/>
    <w:autoRedefine/>
    <w:qFormat/>
    <w:uiPriority w:val="9"/>
    <w:rPr>
      <w:rFonts w:ascii="Calibri" w:hAnsi="Calibri" w:eastAsia="宋体" w:cs="Calibri"/>
      <w:b/>
      <w:bCs/>
      <w:sz w:val="28"/>
      <w:szCs w:val="28"/>
    </w:rPr>
  </w:style>
  <w:style w:type="character" w:customStyle="1" w:styleId="35">
    <w:name w:val="标题 6 字符"/>
    <w:basedOn w:val="23"/>
    <w:link w:val="7"/>
    <w:autoRedefine/>
    <w:qFormat/>
    <w:uiPriority w:val="9"/>
    <w:rPr>
      <w:rFonts w:asciiTheme="majorHAnsi" w:hAnsiTheme="majorHAnsi" w:eastAsiaTheme="majorEastAsia" w:cstheme="majorBidi"/>
      <w:b/>
      <w:bCs/>
      <w:sz w:val="24"/>
      <w:szCs w:val="24"/>
    </w:rPr>
  </w:style>
  <w:style w:type="character" w:customStyle="1" w:styleId="36">
    <w:name w:val="标题 7 字符"/>
    <w:basedOn w:val="23"/>
    <w:link w:val="8"/>
    <w:autoRedefine/>
    <w:qFormat/>
    <w:uiPriority w:val="9"/>
    <w:rPr>
      <w:rFonts w:ascii="Calibri" w:hAnsi="Calibri" w:eastAsia="宋体" w:cs="Calibri"/>
      <w:b/>
      <w:bCs/>
      <w:sz w:val="24"/>
      <w:szCs w:val="24"/>
    </w:rPr>
  </w:style>
  <w:style w:type="character" w:customStyle="1" w:styleId="37">
    <w:name w:val="标题 8 字符"/>
    <w:basedOn w:val="23"/>
    <w:link w:val="9"/>
    <w:autoRedefine/>
    <w:qFormat/>
    <w:uiPriority w:val="9"/>
    <w:rPr>
      <w:rFonts w:asciiTheme="majorHAnsi" w:hAnsiTheme="majorHAnsi" w:eastAsiaTheme="majorEastAsia" w:cstheme="majorBidi"/>
      <w:sz w:val="24"/>
      <w:szCs w:val="24"/>
    </w:rPr>
  </w:style>
  <w:style w:type="character" w:customStyle="1" w:styleId="38">
    <w:name w:val="标题 9 字符"/>
    <w:basedOn w:val="23"/>
    <w:link w:val="10"/>
    <w:autoRedefine/>
    <w:qFormat/>
    <w:uiPriority w:val="9"/>
    <w:rPr>
      <w:rFonts w:asciiTheme="majorHAnsi" w:hAnsiTheme="majorHAnsi" w:eastAsiaTheme="majorEastAsia" w:cstheme="majorBidi"/>
      <w:szCs w:val="21"/>
    </w:rPr>
  </w:style>
  <w:style w:type="character" w:customStyle="1" w:styleId="39">
    <w:name w:val="标题 字符"/>
    <w:basedOn w:val="23"/>
    <w:link w:val="19"/>
    <w:autoRedefine/>
    <w:qFormat/>
    <w:uiPriority w:val="10"/>
    <w:rPr>
      <w:rFonts w:asciiTheme="majorHAnsi" w:hAnsiTheme="majorHAnsi" w:eastAsiaTheme="majorEastAsia" w:cstheme="majorBidi"/>
      <w:b/>
      <w:bCs/>
      <w:sz w:val="32"/>
      <w:szCs w:val="32"/>
    </w:rPr>
  </w:style>
  <w:style w:type="paragraph" w:customStyle="1" w:styleId="40">
    <w:name w:val="章标题"/>
    <w:basedOn w:val="41"/>
    <w:next w:val="43"/>
    <w:link w:val="58"/>
    <w:autoRedefine/>
    <w:qFormat/>
    <w:uiPriority w:val="0"/>
    <w:pPr>
      <w:spacing w:before="312" w:beforeLines="100" w:after="312" w:afterLines="100"/>
    </w:pPr>
    <w:rPr>
      <w:rFonts w:ascii="Times New Roman"/>
    </w:rPr>
  </w:style>
  <w:style w:type="paragraph" w:customStyle="1" w:styleId="41">
    <w:name w:val="1章标题"/>
    <w:next w:val="42"/>
    <w:link w:val="57"/>
    <w:autoRedefine/>
    <w:qFormat/>
    <w:uiPriority w:val="99"/>
    <w:pPr>
      <w:numPr>
        <w:ilvl w:val="1"/>
        <w:numId w:val="1"/>
      </w:numPr>
      <w:spacing w:beforeLines="50" w:afterLines="50"/>
      <w:jc w:val="both"/>
      <w:outlineLvl w:val="0"/>
    </w:pPr>
    <w:rPr>
      <w:rFonts w:ascii="黑体" w:hAnsi="Times New Roman" w:eastAsia="黑体" w:cs="黑体"/>
      <w:sz w:val="21"/>
      <w:szCs w:val="21"/>
      <w:lang w:val="en-US" w:eastAsia="zh-CN" w:bidi="ar-SA"/>
    </w:rPr>
  </w:style>
  <w:style w:type="paragraph" w:customStyle="1" w:styleId="42">
    <w:name w:val="标准文件_段"/>
    <w:autoRedefine/>
    <w:qFormat/>
    <w:uiPriority w:val="99"/>
    <w:pPr>
      <w:widowControl w:val="0"/>
      <w:ind w:firstLine="198" w:firstLineChars="200"/>
      <w:jc w:val="both"/>
    </w:pPr>
    <w:rPr>
      <w:rFonts w:ascii="宋体" w:hAnsi="宋体" w:eastAsia="宋体" w:cs="宋体"/>
      <w:kern w:val="2"/>
      <w:sz w:val="21"/>
      <w:szCs w:val="21"/>
      <w:lang w:val="en-US" w:eastAsia="zh-CN" w:bidi="ar-SA"/>
    </w:rPr>
  </w:style>
  <w:style w:type="paragraph" w:customStyle="1" w:styleId="43">
    <w:name w:val="正文内容"/>
    <w:link w:val="48"/>
    <w:autoRedefine/>
    <w:qFormat/>
    <w:uiPriority w:val="0"/>
    <w:pPr>
      <w:spacing w:line="360" w:lineRule="auto"/>
      <w:ind w:firstLine="420" w:firstLineChars="200"/>
      <w:jc w:val="both"/>
    </w:pPr>
    <w:rPr>
      <w:rFonts w:ascii="Times New Roman" w:hAnsi="Times New Roman" w:eastAsia="宋体" w:cs="Calibri"/>
      <w:kern w:val="2"/>
      <w:sz w:val="21"/>
      <w:szCs w:val="21"/>
      <w:lang w:val="en-US" w:eastAsia="zh-CN" w:bidi="ar-SA"/>
    </w:rPr>
  </w:style>
  <w:style w:type="character" w:customStyle="1" w:styleId="44">
    <w:name w:val="副标题 字符"/>
    <w:basedOn w:val="23"/>
    <w:link w:val="16"/>
    <w:autoRedefine/>
    <w:qFormat/>
    <w:uiPriority w:val="11"/>
    <w:rPr>
      <w:b/>
      <w:bCs/>
      <w:kern w:val="28"/>
      <w:sz w:val="32"/>
      <w:szCs w:val="32"/>
    </w:rPr>
  </w:style>
  <w:style w:type="character" w:customStyle="1" w:styleId="45">
    <w:name w:val="不明显强调1"/>
    <w:basedOn w:val="23"/>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46">
    <w:name w:val="目次、前言、引言"/>
    <w:basedOn w:val="19"/>
    <w:next w:val="43"/>
    <w:link w:val="47"/>
    <w:autoRedefine/>
    <w:qFormat/>
    <w:uiPriority w:val="0"/>
    <w:pPr>
      <w:spacing w:before="851" w:after="680" w:line="240" w:lineRule="auto"/>
    </w:pPr>
    <w:rPr>
      <w:rFonts w:eastAsia="黑体"/>
      <w:b w:val="0"/>
    </w:rPr>
  </w:style>
  <w:style w:type="character" w:customStyle="1" w:styleId="47">
    <w:name w:val="目次、前言、引言 字符"/>
    <w:basedOn w:val="39"/>
    <w:link w:val="46"/>
    <w:autoRedefine/>
    <w:qFormat/>
    <w:uiPriority w:val="0"/>
    <w:rPr>
      <w:rFonts w:eastAsia="黑体" w:asciiTheme="majorHAnsi" w:hAnsiTheme="majorHAnsi" w:cstheme="majorBidi"/>
      <w:b w:val="0"/>
      <w:kern w:val="2"/>
      <w:sz w:val="32"/>
      <w:szCs w:val="32"/>
    </w:rPr>
  </w:style>
  <w:style w:type="character" w:customStyle="1" w:styleId="48">
    <w:name w:val="正文内容 字符"/>
    <w:basedOn w:val="23"/>
    <w:link w:val="43"/>
    <w:autoRedefine/>
    <w:qFormat/>
    <w:uiPriority w:val="0"/>
    <w:rPr>
      <w:rFonts w:cs="Calibri"/>
      <w:kern w:val="2"/>
      <w:sz w:val="21"/>
      <w:szCs w:val="21"/>
    </w:rPr>
  </w:style>
  <w:style w:type="paragraph" w:customStyle="1" w:styleId="49">
    <w:name w:val="标准文件_二级条标题"/>
    <w:next w:val="42"/>
    <w:link w:val="67"/>
    <w:autoRedefine/>
    <w:qFormat/>
    <w:uiPriority w:val="99"/>
    <w:pPr>
      <w:widowControl w:val="0"/>
      <w:numPr>
        <w:ilvl w:val="3"/>
        <w:numId w:val="1"/>
      </w:numPr>
      <w:jc w:val="both"/>
      <w:outlineLvl w:val="2"/>
    </w:pPr>
    <w:rPr>
      <w:rFonts w:ascii="黑体" w:hAnsi="Times New Roman" w:eastAsia="黑体" w:cs="黑体"/>
      <w:sz w:val="21"/>
      <w:szCs w:val="21"/>
      <w:lang w:val="en-US" w:eastAsia="zh-CN" w:bidi="ar-SA"/>
    </w:rPr>
  </w:style>
  <w:style w:type="paragraph" w:customStyle="1" w:styleId="50">
    <w:name w:val="标准文件_三级条标题"/>
    <w:basedOn w:val="49"/>
    <w:next w:val="42"/>
    <w:link w:val="79"/>
    <w:autoRedefine/>
    <w:qFormat/>
    <w:uiPriority w:val="99"/>
    <w:pPr>
      <w:widowControl/>
      <w:numPr>
        <w:ilvl w:val="4"/>
      </w:numPr>
      <w:outlineLvl w:val="3"/>
    </w:pPr>
  </w:style>
  <w:style w:type="paragraph" w:customStyle="1" w:styleId="51">
    <w:name w:val="标准文件_四级条标题"/>
    <w:next w:val="42"/>
    <w:autoRedefine/>
    <w:qFormat/>
    <w:uiPriority w:val="99"/>
    <w:pPr>
      <w:widowControl w:val="0"/>
      <w:numPr>
        <w:ilvl w:val="5"/>
        <w:numId w:val="1"/>
      </w:numPr>
      <w:jc w:val="both"/>
      <w:outlineLvl w:val="4"/>
    </w:pPr>
    <w:rPr>
      <w:rFonts w:ascii="黑体" w:hAnsi="Times New Roman" w:eastAsia="黑体" w:cs="黑体"/>
      <w:sz w:val="21"/>
      <w:szCs w:val="21"/>
      <w:lang w:val="en-US" w:eastAsia="zh-CN" w:bidi="ar-SA"/>
    </w:rPr>
  </w:style>
  <w:style w:type="paragraph" w:customStyle="1" w:styleId="52">
    <w:name w:val="标准文件_五级条标题"/>
    <w:next w:val="42"/>
    <w:autoRedefine/>
    <w:qFormat/>
    <w:uiPriority w:val="99"/>
    <w:pPr>
      <w:widowControl w:val="0"/>
      <w:numPr>
        <w:ilvl w:val="6"/>
        <w:numId w:val="1"/>
      </w:numPr>
      <w:jc w:val="both"/>
      <w:outlineLvl w:val="5"/>
    </w:pPr>
    <w:rPr>
      <w:rFonts w:ascii="黑体" w:hAnsi="Times New Roman" w:eastAsia="黑体" w:cs="黑体"/>
      <w:sz w:val="21"/>
      <w:szCs w:val="21"/>
      <w:lang w:val="en-US" w:eastAsia="zh-CN" w:bidi="ar-SA"/>
    </w:rPr>
  </w:style>
  <w:style w:type="paragraph" w:customStyle="1" w:styleId="53">
    <w:name w:val="标准文件_一级条标题"/>
    <w:basedOn w:val="41"/>
    <w:next w:val="42"/>
    <w:link w:val="59"/>
    <w:autoRedefine/>
    <w:qFormat/>
    <w:uiPriority w:val="99"/>
    <w:pPr>
      <w:numPr>
        <w:ilvl w:val="2"/>
      </w:numPr>
      <w:spacing w:beforeLines="0" w:afterLines="0"/>
      <w:outlineLvl w:val="1"/>
    </w:pPr>
  </w:style>
  <w:style w:type="paragraph" w:customStyle="1" w:styleId="54">
    <w:name w:val="前言标题"/>
    <w:next w:val="1"/>
    <w:autoRedefine/>
    <w:qFormat/>
    <w:uiPriority w:val="99"/>
    <w:pPr>
      <w:numPr>
        <w:ilvl w:val="0"/>
        <w:numId w:val="1"/>
      </w:numPr>
      <w:shd w:val="clear" w:color="FFFFFF" w:fill="FFFFFF"/>
      <w:spacing w:before="540"/>
      <w:jc w:val="center"/>
      <w:outlineLvl w:val="0"/>
    </w:pPr>
    <w:rPr>
      <w:rFonts w:ascii="黑体" w:hAnsi="Times New Roman" w:eastAsia="黑体" w:cs="黑体"/>
      <w:sz w:val="32"/>
      <w:szCs w:val="32"/>
      <w:lang w:val="en-US" w:eastAsia="zh-CN" w:bidi="ar-SA"/>
    </w:rPr>
  </w:style>
  <w:style w:type="paragraph" w:styleId="55">
    <w:name w:val="List Paragraph"/>
    <w:basedOn w:val="1"/>
    <w:link w:val="73"/>
    <w:autoRedefine/>
    <w:qFormat/>
    <w:uiPriority w:val="99"/>
    <w:pPr>
      <w:adjustRightInd/>
      <w:spacing w:line="240" w:lineRule="auto"/>
      <w:ind w:firstLine="420" w:firstLineChars="200"/>
    </w:pPr>
  </w:style>
  <w:style w:type="paragraph" w:customStyle="1" w:styleId="56">
    <w:name w:val="一级条标题"/>
    <w:basedOn w:val="53"/>
    <w:next w:val="43"/>
    <w:link w:val="60"/>
    <w:autoRedefine/>
    <w:qFormat/>
    <w:uiPriority w:val="0"/>
    <w:pPr>
      <w:spacing w:before="156" w:beforeLines="50" w:after="156" w:afterLines="50"/>
    </w:pPr>
    <w:rPr>
      <w:rFonts w:ascii="Times New Roman"/>
    </w:rPr>
  </w:style>
  <w:style w:type="character" w:customStyle="1" w:styleId="57">
    <w:name w:val="1章标题 字符"/>
    <w:basedOn w:val="23"/>
    <w:link w:val="41"/>
    <w:autoRedefine/>
    <w:qFormat/>
    <w:uiPriority w:val="99"/>
    <w:rPr>
      <w:rFonts w:ascii="黑体" w:hAnsi="Times New Roman" w:eastAsia="黑体" w:cs="黑体"/>
      <w:kern w:val="0"/>
      <w:szCs w:val="21"/>
    </w:rPr>
  </w:style>
  <w:style w:type="character" w:customStyle="1" w:styleId="58">
    <w:name w:val="章标题 字符"/>
    <w:basedOn w:val="57"/>
    <w:link w:val="40"/>
    <w:autoRedefine/>
    <w:qFormat/>
    <w:uiPriority w:val="0"/>
    <w:rPr>
      <w:rFonts w:ascii="黑体" w:hAnsi="Times New Roman" w:eastAsia="黑体" w:cs="黑体"/>
      <w:kern w:val="0"/>
      <w:sz w:val="21"/>
      <w:szCs w:val="21"/>
    </w:rPr>
  </w:style>
  <w:style w:type="character" w:customStyle="1" w:styleId="59">
    <w:name w:val="标准文件_一级条标题 字符"/>
    <w:basedOn w:val="57"/>
    <w:link w:val="53"/>
    <w:autoRedefine/>
    <w:qFormat/>
    <w:uiPriority w:val="99"/>
    <w:rPr>
      <w:rFonts w:ascii="黑体" w:hAnsi="Times New Roman" w:eastAsia="黑体" w:cs="黑体"/>
      <w:kern w:val="0"/>
      <w:szCs w:val="21"/>
    </w:rPr>
  </w:style>
  <w:style w:type="character" w:customStyle="1" w:styleId="60">
    <w:name w:val="一级条标题 字符"/>
    <w:basedOn w:val="59"/>
    <w:link w:val="56"/>
    <w:autoRedefine/>
    <w:qFormat/>
    <w:uiPriority w:val="0"/>
    <w:rPr>
      <w:rFonts w:ascii="黑体" w:hAnsi="Times New Roman" w:eastAsia="黑体" w:cs="黑体"/>
      <w:kern w:val="0"/>
      <w:sz w:val="21"/>
      <w:szCs w:val="21"/>
    </w:rPr>
  </w:style>
  <w:style w:type="paragraph" w:customStyle="1" w:styleId="61">
    <w:name w:val="术语"/>
    <w:basedOn w:val="43"/>
    <w:next w:val="43"/>
    <w:link w:val="63"/>
    <w:autoRedefine/>
    <w:qFormat/>
    <w:uiPriority w:val="0"/>
    <w:rPr>
      <w:rFonts w:eastAsia="黑体"/>
    </w:rPr>
  </w:style>
  <w:style w:type="character" w:customStyle="1" w:styleId="62">
    <w:name w:val="段 Char"/>
    <w:autoRedefine/>
    <w:qFormat/>
    <w:uiPriority w:val="0"/>
    <w:rPr>
      <w:rFonts w:ascii="宋体"/>
      <w:sz w:val="21"/>
      <w:lang w:val="en-US" w:eastAsia="zh-CN" w:bidi="ar-SA"/>
    </w:rPr>
  </w:style>
  <w:style w:type="character" w:customStyle="1" w:styleId="63">
    <w:name w:val="术语 字符"/>
    <w:basedOn w:val="48"/>
    <w:link w:val="61"/>
    <w:autoRedefine/>
    <w:qFormat/>
    <w:uiPriority w:val="0"/>
    <w:rPr>
      <w:rFonts w:ascii="Times New Roman" w:hAnsi="Times New Roman" w:eastAsia="黑体" w:cs="Calibri"/>
      <w:kern w:val="2"/>
      <w:sz w:val="21"/>
      <w:szCs w:val="21"/>
    </w:rPr>
  </w:style>
  <w:style w:type="paragraph" w:customStyle="1" w:styleId="64">
    <w:name w:val="注"/>
    <w:basedOn w:val="43"/>
    <w:next w:val="43"/>
    <w:link w:val="66"/>
    <w:autoRedefine/>
    <w:qFormat/>
    <w:uiPriority w:val="0"/>
    <w:pPr>
      <w:tabs>
        <w:tab w:val="center" w:pos="4201"/>
        <w:tab w:val="right" w:leader="dot" w:pos="9298"/>
      </w:tabs>
      <w:autoSpaceDE w:val="0"/>
      <w:autoSpaceDN w:val="0"/>
      <w:ind w:firstLine="360"/>
    </w:pPr>
    <w:rPr>
      <w:rFonts w:eastAsia="黑体" w:cs="Times New Roman"/>
      <w:kern w:val="0"/>
      <w:sz w:val="18"/>
      <w:szCs w:val="18"/>
    </w:rPr>
  </w:style>
  <w:style w:type="paragraph" w:customStyle="1" w:styleId="65">
    <w:name w:val="二级条标题"/>
    <w:basedOn w:val="49"/>
    <w:next w:val="43"/>
    <w:link w:val="68"/>
    <w:autoRedefine/>
    <w:qFormat/>
    <w:uiPriority w:val="0"/>
    <w:pPr>
      <w:spacing w:before="156" w:beforeLines="50" w:after="156" w:afterLines="50"/>
    </w:pPr>
    <w:rPr>
      <w:rFonts w:ascii="Times New Roman"/>
    </w:rPr>
  </w:style>
  <w:style w:type="character" w:customStyle="1" w:styleId="66">
    <w:name w:val="注 字符"/>
    <w:basedOn w:val="48"/>
    <w:link w:val="64"/>
    <w:autoRedefine/>
    <w:qFormat/>
    <w:uiPriority w:val="0"/>
    <w:rPr>
      <w:rFonts w:ascii="Times New Roman" w:hAnsi="Times New Roman" w:eastAsia="黑体" w:cs="Times New Roman"/>
      <w:kern w:val="0"/>
      <w:sz w:val="18"/>
      <w:szCs w:val="18"/>
    </w:rPr>
  </w:style>
  <w:style w:type="character" w:customStyle="1" w:styleId="67">
    <w:name w:val="标准文件_二级条标题 字符"/>
    <w:basedOn w:val="23"/>
    <w:link w:val="49"/>
    <w:autoRedefine/>
    <w:qFormat/>
    <w:uiPriority w:val="99"/>
    <w:rPr>
      <w:rFonts w:ascii="黑体" w:hAnsi="Times New Roman" w:eastAsia="黑体" w:cs="黑体"/>
      <w:kern w:val="0"/>
      <w:szCs w:val="21"/>
    </w:rPr>
  </w:style>
  <w:style w:type="character" w:customStyle="1" w:styleId="68">
    <w:name w:val="二级条标题 字符"/>
    <w:basedOn w:val="67"/>
    <w:link w:val="65"/>
    <w:autoRedefine/>
    <w:qFormat/>
    <w:uiPriority w:val="0"/>
    <w:rPr>
      <w:rFonts w:ascii="黑体" w:hAnsi="Times New Roman" w:eastAsia="黑体" w:cs="黑体"/>
      <w:kern w:val="0"/>
      <w:sz w:val="21"/>
      <w:szCs w:val="21"/>
    </w:rPr>
  </w:style>
  <w:style w:type="paragraph" w:customStyle="1" w:styleId="69">
    <w:name w:val="正文图题"/>
    <w:basedOn w:val="17"/>
    <w:next w:val="43"/>
    <w:link w:val="72"/>
    <w:autoRedefine/>
    <w:qFormat/>
    <w:uiPriority w:val="0"/>
    <w:pPr>
      <w:numPr>
        <w:ilvl w:val="0"/>
        <w:numId w:val="2"/>
      </w:numPr>
      <w:spacing w:before="50" w:beforeLines="50" w:after="50" w:afterLines="50" w:line="240" w:lineRule="auto"/>
      <w:ind w:left="0" w:leftChars="0" w:firstLine="0" w:firstLineChars="0"/>
      <w:jc w:val="center"/>
    </w:pPr>
    <w:rPr>
      <w:rFonts w:ascii="Times New Roman" w:hAnsi="Times New Roman" w:eastAsia="黑体"/>
    </w:rPr>
  </w:style>
  <w:style w:type="paragraph" w:customStyle="1" w:styleId="70">
    <w:name w:val="字母列项"/>
    <w:basedOn w:val="55"/>
    <w:next w:val="43"/>
    <w:link w:val="74"/>
    <w:autoRedefine/>
    <w:qFormat/>
    <w:uiPriority w:val="0"/>
    <w:pPr>
      <w:numPr>
        <w:ilvl w:val="0"/>
        <w:numId w:val="3"/>
      </w:numPr>
      <w:ind w:left="777" w:hanging="357" w:firstLineChars="0"/>
      <w:jc w:val="left"/>
    </w:pPr>
    <w:rPr>
      <w:rFonts w:ascii="Times New Roman" w:hAnsi="Times New Roman" w:cs="宋体"/>
      <w:kern w:val="0"/>
    </w:rPr>
  </w:style>
  <w:style w:type="character" w:customStyle="1" w:styleId="71">
    <w:name w:val="图表目录 字符"/>
    <w:basedOn w:val="23"/>
    <w:link w:val="17"/>
    <w:autoRedefine/>
    <w:semiHidden/>
    <w:qFormat/>
    <w:uiPriority w:val="99"/>
    <w:rPr>
      <w:rFonts w:ascii="Calibri" w:hAnsi="Calibri" w:eastAsia="宋体" w:cs="Calibri"/>
      <w:szCs w:val="21"/>
    </w:rPr>
  </w:style>
  <w:style w:type="character" w:customStyle="1" w:styleId="72">
    <w:name w:val="正文图题 字符"/>
    <w:basedOn w:val="71"/>
    <w:link w:val="69"/>
    <w:autoRedefine/>
    <w:qFormat/>
    <w:uiPriority w:val="0"/>
    <w:rPr>
      <w:rFonts w:ascii="Times New Roman" w:hAnsi="Times New Roman" w:eastAsia="黑体" w:cs="Calibri"/>
      <w:szCs w:val="21"/>
    </w:rPr>
  </w:style>
  <w:style w:type="character" w:customStyle="1" w:styleId="73">
    <w:name w:val="列表段落 字符"/>
    <w:basedOn w:val="23"/>
    <w:link w:val="55"/>
    <w:autoRedefine/>
    <w:qFormat/>
    <w:uiPriority w:val="99"/>
    <w:rPr>
      <w:rFonts w:ascii="Calibri" w:hAnsi="Calibri" w:eastAsia="宋体" w:cs="Calibri"/>
      <w:szCs w:val="21"/>
    </w:rPr>
  </w:style>
  <w:style w:type="character" w:customStyle="1" w:styleId="74">
    <w:name w:val="字母列项 字符"/>
    <w:basedOn w:val="73"/>
    <w:link w:val="70"/>
    <w:autoRedefine/>
    <w:qFormat/>
    <w:uiPriority w:val="0"/>
    <w:rPr>
      <w:rFonts w:ascii="Times New Roman" w:hAnsi="Times New Roman" w:eastAsia="宋体" w:cs="宋体"/>
      <w:kern w:val="0"/>
      <w:szCs w:val="21"/>
    </w:rPr>
  </w:style>
  <w:style w:type="paragraph" w:customStyle="1" w:styleId="75">
    <w:name w:val="正文表标题"/>
    <w:basedOn w:val="69"/>
    <w:next w:val="43"/>
    <w:link w:val="77"/>
    <w:autoRedefine/>
    <w:qFormat/>
    <w:uiPriority w:val="0"/>
    <w:pPr>
      <w:numPr>
        <w:numId w:val="4"/>
      </w:numPr>
      <w:ind w:left="0" w:firstLine="0"/>
    </w:pPr>
  </w:style>
  <w:style w:type="paragraph" w:customStyle="1" w:styleId="76">
    <w:name w:val="三级条标题"/>
    <w:basedOn w:val="50"/>
    <w:next w:val="43"/>
    <w:link w:val="80"/>
    <w:autoRedefine/>
    <w:qFormat/>
    <w:uiPriority w:val="0"/>
    <w:pPr>
      <w:spacing w:before="156" w:beforeLines="50" w:after="156" w:afterLines="50"/>
    </w:pPr>
    <w:rPr>
      <w:rFonts w:ascii="Times New Roman"/>
    </w:rPr>
  </w:style>
  <w:style w:type="character" w:customStyle="1" w:styleId="77">
    <w:name w:val="正文表标题 字符"/>
    <w:basedOn w:val="72"/>
    <w:link w:val="75"/>
    <w:autoRedefine/>
    <w:qFormat/>
    <w:uiPriority w:val="0"/>
    <w:rPr>
      <w:rFonts w:ascii="Times New Roman" w:hAnsi="Times New Roman" w:eastAsia="黑体" w:cs="Calibri"/>
      <w:szCs w:val="21"/>
    </w:rPr>
  </w:style>
  <w:style w:type="paragraph" w:customStyle="1" w:styleId="78">
    <w:name w:val="列项（——）"/>
    <w:basedOn w:val="1"/>
    <w:link w:val="82"/>
    <w:autoRedefine/>
    <w:qFormat/>
    <w:uiPriority w:val="0"/>
    <w:pPr>
      <w:widowControl/>
      <w:tabs>
        <w:tab w:val="center" w:pos="4201"/>
        <w:tab w:val="right" w:leader="dot" w:pos="9298"/>
      </w:tabs>
      <w:autoSpaceDE w:val="0"/>
      <w:autoSpaceDN w:val="0"/>
      <w:adjustRightInd/>
      <w:spacing w:line="240" w:lineRule="auto"/>
      <w:ind w:left="400" w:leftChars="200" w:hanging="200" w:hangingChars="200"/>
    </w:pPr>
    <w:rPr>
      <w:rFonts w:ascii="Times New Roman" w:hAnsi="Times New Roman" w:cs="黑体"/>
      <w:kern w:val="0"/>
    </w:rPr>
  </w:style>
  <w:style w:type="character" w:customStyle="1" w:styleId="79">
    <w:name w:val="标准文件_三级条标题 字符"/>
    <w:basedOn w:val="67"/>
    <w:link w:val="50"/>
    <w:autoRedefine/>
    <w:qFormat/>
    <w:uiPriority w:val="99"/>
    <w:rPr>
      <w:rFonts w:ascii="黑体" w:hAnsi="Times New Roman" w:eastAsia="黑体" w:cs="黑体"/>
      <w:kern w:val="0"/>
      <w:szCs w:val="21"/>
    </w:rPr>
  </w:style>
  <w:style w:type="character" w:customStyle="1" w:styleId="80">
    <w:name w:val="三级条标题 字符"/>
    <w:basedOn w:val="79"/>
    <w:link w:val="76"/>
    <w:autoRedefine/>
    <w:qFormat/>
    <w:uiPriority w:val="0"/>
    <w:rPr>
      <w:rFonts w:ascii="Times New Roman" w:hAnsi="Times New Roman" w:eastAsia="黑体" w:cs="黑体"/>
      <w:kern w:val="0"/>
      <w:szCs w:val="21"/>
    </w:rPr>
  </w:style>
  <w:style w:type="table" w:customStyle="1" w:styleId="81">
    <w:name w:val="网格型1"/>
    <w:basedOn w:val="21"/>
    <w:autoRedefine/>
    <w:qFormat/>
    <w:uiPriority w:val="9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2">
    <w:name w:val="列项（——） 字符"/>
    <w:basedOn w:val="23"/>
    <w:link w:val="78"/>
    <w:autoRedefine/>
    <w:qFormat/>
    <w:uiPriority w:val="0"/>
    <w:rPr>
      <w:rFonts w:ascii="Times New Roman" w:hAnsi="Times New Roman" w:eastAsia="宋体" w:cs="黑体"/>
      <w:kern w:val="0"/>
      <w:szCs w:val="21"/>
      <w:lang w:val="en-US" w:eastAsia="zh-CN"/>
    </w:rPr>
  </w:style>
  <w:style w:type="paragraph" w:customStyle="1" w:styleId="83">
    <w:name w:val="正文公式"/>
    <w:basedOn w:val="1"/>
    <w:link w:val="85"/>
    <w:autoRedefine/>
    <w:qFormat/>
    <w:uiPriority w:val="0"/>
    <w:pPr>
      <w:tabs>
        <w:tab w:val="center" w:pos="2520"/>
        <w:tab w:val="right" w:pos="5040"/>
      </w:tabs>
      <w:adjustRightInd/>
      <w:spacing w:line="240" w:lineRule="auto"/>
      <w:jc w:val="center"/>
    </w:pPr>
    <w:rPr>
      <w:rFonts w:ascii="宋体" w:hAnsi="宋体" w:cs="宋体"/>
      <w:szCs w:val="18"/>
    </w:rPr>
  </w:style>
  <w:style w:type="paragraph" w:customStyle="1" w:styleId="84">
    <w:name w:val="正文公式1"/>
    <w:basedOn w:val="43"/>
    <w:next w:val="43"/>
    <w:autoRedefine/>
    <w:qFormat/>
    <w:uiPriority w:val="0"/>
    <w:pPr>
      <w:tabs>
        <w:tab w:val="center" w:pos="4200"/>
        <w:tab w:val="right" w:leader="dot" w:pos="9030"/>
      </w:tabs>
      <w:ind w:firstLine="0" w:firstLineChars="0"/>
      <w:jc w:val="left"/>
    </w:pPr>
  </w:style>
  <w:style w:type="character" w:customStyle="1" w:styleId="85">
    <w:name w:val="正文公式 字符"/>
    <w:basedOn w:val="23"/>
    <w:link w:val="83"/>
    <w:autoRedefine/>
    <w:qFormat/>
    <w:uiPriority w:val="0"/>
    <w:rPr>
      <w:rFonts w:ascii="宋体" w:hAnsi="宋体" w:eastAsia="宋体" w:cs="宋体"/>
      <w:szCs w:val="18"/>
    </w:rPr>
  </w:style>
  <w:style w:type="character" w:customStyle="1" w:styleId="86">
    <w:name w:val="批注文字 字符1"/>
    <w:link w:val="11"/>
    <w:autoRedefine/>
    <w:qFormat/>
    <w:uiPriority w:val="0"/>
    <w:rPr>
      <w:szCs w:val="24"/>
    </w:rPr>
  </w:style>
  <w:style w:type="character" w:customStyle="1" w:styleId="87">
    <w:name w:val="批注文字 字符"/>
    <w:basedOn w:val="23"/>
    <w:autoRedefine/>
    <w:semiHidden/>
    <w:qFormat/>
    <w:uiPriority w:val="99"/>
    <w:rPr>
      <w:rFonts w:ascii="Calibri" w:hAnsi="Calibri" w:eastAsia="宋体" w:cs="Calibri"/>
      <w:szCs w:val="21"/>
    </w:rPr>
  </w:style>
  <w:style w:type="paragraph" w:customStyle="1" w:styleId="88">
    <w:name w:val="附录标识"/>
    <w:basedOn w:val="1"/>
    <w:next w:val="43"/>
    <w:link w:val="91"/>
    <w:autoRedefine/>
    <w:qFormat/>
    <w:uiPriority w:val="0"/>
    <w:pPr>
      <w:keepNext/>
      <w:widowControl/>
      <w:shd w:val="clear" w:color="FFFFFF" w:fill="FFFFFF"/>
      <w:tabs>
        <w:tab w:val="left" w:pos="360"/>
        <w:tab w:val="left" w:pos="6405"/>
      </w:tabs>
      <w:adjustRightInd/>
      <w:spacing w:before="640" w:after="280" w:line="240" w:lineRule="auto"/>
      <w:jc w:val="center"/>
      <w:outlineLvl w:val="0"/>
    </w:pPr>
    <w:rPr>
      <w:rFonts w:ascii="黑体" w:hAnsi="Times New Roman" w:eastAsia="黑体" w:cs="Times New Roman"/>
      <w:kern w:val="0"/>
      <w:szCs w:val="20"/>
    </w:rPr>
  </w:style>
  <w:style w:type="paragraph" w:customStyle="1" w:styleId="89">
    <w:name w:val="附录标题"/>
    <w:basedOn w:val="88"/>
    <w:next w:val="43"/>
    <w:link w:val="92"/>
    <w:autoRedefine/>
    <w:qFormat/>
    <w:uiPriority w:val="0"/>
    <w:pPr>
      <w:spacing w:before="0" w:after="0" w:line="360" w:lineRule="auto"/>
    </w:pPr>
  </w:style>
  <w:style w:type="paragraph" w:customStyle="1" w:styleId="90">
    <w:name w:val="附录章标题"/>
    <w:basedOn w:val="89"/>
    <w:next w:val="43"/>
    <w:link w:val="94"/>
    <w:autoRedefine/>
    <w:qFormat/>
    <w:uiPriority w:val="0"/>
    <w:pPr>
      <w:tabs>
        <w:tab w:val="clear" w:pos="360"/>
        <w:tab w:val="clear" w:pos="6405"/>
      </w:tabs>
      <w:spacing w:before="100" w:beforeLines="100" w:after="100" w:afterLines="100" w:line="240" w:lineRule="auto"/>
      <w:jc w:val="left"/>
    </w:pPr>
  </w:style>
  <w:style w:type="character" w:customStyle="1" w:styleId="91">
    <w:name w:val="附录标识 字符"/>
    <w:basedOn w:val="23"/>
    <w:link w:val="88"/>
    <w:autoRedefine/>
    <w:qFormat/>
    <w:uiPriority w:val="0"/>
    <w:rPr>
      <w:rFonts w:ascii="黑体" w:hAnsi="Times New Roman" w:eastAsia="黑体" w:cs="Times New Roman"/>
      <w:kern w:val="0"/>
      <w:szCs w:val="20"/>
      <w:shd w:val="clear" w:color="FFFFFF" w:fill="FFFFFF"/>
    </w:rPr>
  </w:style>
  <w:style w:type="character" w:customStyle="1" w:styleId="92">
    <w:name w:val="附录标题 字符"/>
    <w:basedOn w:val="91"/>
    <w:link w:val="89"/>
    <w:autoRedefine/>
    <w:qFormat/>
    <w:uiPriority w:val="0"/>
    <w:rPr>
      <w:rFonts w:ascii="黑体" w:hAnsi="Times New Roman" w:eastAsia="黑体" w:cs="Times New Roman"/>
      <w:kern w:val="0"/>
      <w:sz w:val="21"/>
      <w:szCs w:val="20"/>
      <w:shd w:val="clear" w:color="FFFFFF" w:fill="FFFFFF"/>
    </w:rPr>
  </w:style>
  <w:style w:type="paragraph" w:customStyle="1" w:styleId="93">
    <w:name w:val="标准文件_正文图标题"/>
    <w:next w:val="1"/>
    <w:autoRedefine/>
    <w:qFormat/>
    <w:uiPriority w:val="99"/>
    <w:pPr>
      <w:numPr>
        <w:ilvl w:val="0"/>
        <w:numId w:val="5"/>
      </w:numPr>
      <w:jc w:val="center"/>
    </w:pPr>
    <w:rPr>
      <w:rFonts w:ascii="黑体" w:hAnsi="Times New Roman" w:eastAsia="黑体" w:cs="黑体"/>
      <w:sz w:val="21"/>
      <w:szCs w:val="21"/>
      <w:lang w:val="en-US" w:eastAsia="zh-CN" w:bidi="ar-SA"/>
    </w:rPr>
  </w:style>
  <w:style w:type="character" w:customStyle="1" w:styleId="94">
    <w:name w:val="附录章标题 字符"/>
    <w:basedOn w:val="92"/>
    <w:link w:val="90"/>
    <w:autoRedefine/>
    <w:qFormat/>
    <w:uiPriority w:val="0"/>
    <w:rPr>
      <w:rFonts w:ascii="黑体" w:hAnsi="Times New Roman" w:eastAsia="黑体" w:cs="Times New Roman"/>
      <w:kern w:val="0"/>
      <w:sz w:val="21"/>
      <w:szCs w:val="20"/>
      <w:shd w:val="clear" w:color="FFFFFF" w:fill="FFFFFF"/>
    </w:rPr>
  </w:style>
  <w:style w:type="paragraph" w:customStyle="1" w:styleId="95">
    <w:name w:val="正文图标题"/>
    <w:next w:val="43"/>
    <w:autoRedefine/>
    <w:qFormat/>
    <w:uiPriority w:val="99"/>
    <w:pPr>
      <w:tabs>
        <w:tab w:val="left" w:pos="360"/>
      </w:tabs>
      <w:spacing w:beforeLines="50" w:afterLines="50"/>
      <w:ind w:left="823" w:hanging="420"/>
      <w:jc w:val="center"/>
    </w:pPr>
    <w:rPr>
      <w:rFonts w:ascii="黑体" w:hAnsi="Times New Roman" w:eastAsia="黑体" w:cs="黑体"/>
      <w:sz w:val="21"/>
      <w:szCs w:val="21"/>
      <w:lang w:val="en-US" w:eastAsia="zh-CN" w:bidi="ar-SA"/>
    </w:rPr>
  </w:style>
  <w:style w:type="paragraph" w:customStyle="1" w:styleId="96">
    <w:name w:val="标准称谓"/>
    <w:next w:val="1"/>
    <w:autoRedefine/>
    <w:qFormat/>
    <w:uiPriority w:val="99"/>
    <w:pPr>
      <w:framePr w:w="9638" w:h="754" w:hRule="exact" w:hSpace="180" w:vSpace="180" w:wrap="auto" w:vAnchor="page" w:hAnchor="margin" w:xAlign="center" w:y="2128" w:anchorLock="1"/>
      <w:widowControl w:val="0"/>
      <w:kinsoku w:val="0"/>
      <w:overflowPunct w:val="0"/>
      <w:autoSpaceDE w:val="0"/>
      <w:autoSpaceDN w:val="0"/>
      <w:spacing w:line="240" w:lineRule="atLeast"/>
      <w:jc w:val="distribute"/>
    </w:pPr>
    <w:rPr>
      <w:rFonts w:ascii="宋体" w:hAnsi="Times New Roman" w:eastAsia="宋体" w:cs="宋体"/>
      <w:b/>
      <w:bCs/>
      <w:w w:val="148"/>
      <w:sz w:val="52"/>
      <w:szCs w:val="52"/>
      <w:lang w:val="en-US" w:eastAsia="zh-CN" w:bidi="ar-SA"/>
    </w:rPr>
  </w:style>
  <w:style w:type="paragraph" w:customStyle="1" w:styleId="97">
    <w:name w:val="标准文件_页脚偶数页"/>
    <w:autoRedefine/>
    <w:qFormat/>
    <w:uiPriority w:val="99"/>
    <w:rPr>
      <w:rFonts w:ascii="宋体" w:hAnsi="Times New Roman" w:eastAsia="宋体" w:cs="宋体"/>
      <w:sz w:val="18"/>
      <w:szCs w:val="18"/>
      <w:lang w:val="en-US" w:eastAsia="zh-CN" w:bidi="ar-SA"/>
    </w:rPr>
  </w:style>
  <w:style w:type="paragraph" w:customStyle="1" w:styleId="98">
    <w:name w:val="附录一级条标题"/>
    <w:basedOn w:val="90"/>
    <w:next w:val="43"/>
    <w:link w:val="99"/>
    <w:autoRedefine/>
    <w:qFormat/>
    <w:uiPriority w:val="0"/>
    <w:pPr>
      <w:spacing w:before="156" w:beforeLines="50" w:after="156" w:afterLines="50"/>
    </w:pPr>
  </w:style>
  <w:style w:type="character" w:customStyle="1" w:styleId="99">
    <w:name w:val="附录一级条标题 字符"/>
    <w:basedOn w:val="94"/>
    <w:link w:val="98"/>
    <w:autoRedefine/>
    <w:qFormat/>
    <w:uiPriority w:val="0"/>
    <w:rPr>
      <w:rFonts w:ascii="黑体" w:hAnsi="Times New Roman" w:eastAsia="黑体" w:cs="Times New Roman"/>
      <w:kern w:val="0"/>
      <w:sz w:val="21"/>
      <w:szCs w:val="20"/>
      <w:shd w:val="clear" w:color="FFFFFF" w:fill="FFFFFF"/>
    </w:rPr>
  </w:style>
  <w:style w:type="paragraph" w:customStyle="1" w:styleId="100">
    <w:name w:val="附录图标题"/>
    <w:basedOn w:val="89"/>
    <w:next w:val="43"/>
    <w:link w:val="102"/>
    <w:autoRedefine/>
    <w:qFormat/>
    <w:uiPriority w:val="0"/>
    <w:pPr>
      <w:numPr>
        <w:ilvl w:val="0"/>
        <w:numId w:val="6"/>
      </w:numPr>
      <w:spacing w:before="50" w:beforeLines="50" w:after="50" w:afterLines="50" w:line="240" w:lineRule="auto"/>
    </w:pPr>
    <w:rPr>
      <w:rFonts w:ascii="Times New Roman"/>
    </w:rPr>
  </w:style>
  <w:style w:type="paragraph" w:customStyle="1" w:styleId="101">
    <w:name w:val="附录表标题"/>
    <w:basedOn w:val="1"/>
    <w:next w:val="43"/>
    <w:autoRedefine/>
    <w:qFormat/>
    <w:uiPriority w:val="0"/>
    <w:pPr>
      <w:tabs>
        <w:tab w:val="left" w:pos="180"/>
      </w:tabs>
      <w:adjustRightInd/>
      <w:spacing w:beforeLines="50" w:afterLines="50" w:line="240" w:lineRule="auto"/>
      <w:jc w:val="center"/>
    </w:pPr>
    <w:rPr>
      <w:rFonts w:ascii="黑体" w:hAnsi="Times New Roman" w:eastAsia="黑体" w:cs="Times New Roman"/>
    </w:rPr>
  </w:style>
  <w:style w:type="character" w:customStyle="1" w:styleId="102">
    <w:name w:val="附录图标题 字符"/>
    <w:basedOn w:val="92"/>
    <w:link w:val="100"/>
    <w:autoRedefine/>
    <w:qFormat/>
    <w:uiPriority w:val="0"/>
    <w:rPr>
      <w:rFonts w:ascii="Times New Roman" w:hAnsi="Times New Roman" w:eastAsia="黑体" w:cs="Times New Roman"/>
      <w:kern w:val="0"/>
      <w:sz w:val="21"/>
      <w:szCs w:val="20"/>
      <w:shd w:val="clear" w:color="FFFFFF" w:fill="FFFFFF"/>
    </w:rPr>
  </w:style>
  <w:style w:type="paragraph" w:customStyle="1" w:styleId="103">
    <w:name w:val="样式1"/>
    <w:basedOn w:val="88"/>
    <w:next w:val="43"/>
    <w:link w:val="104"/>
    <w:autoRedefine/>
    <w:qFormat/>
    <w:uiPriority w:val="0"/>
    <w:pPr>
      <w:spacing w:before="312" w:after="312"/>
    </w:pPr>
  </w:style>
  <w:style w:type="character" w:customStyle="1" w:styleId="104">
    <w:name w:val="样式1 字符"/>
    <w:basedOn w:val="91"/>
    <w:link w:val="103"/>
    <w:autoRedefine/>
    <w:qFormat/>
    <w:uiPriority w:val="0"/>
    <w:rPr>
      <w:rFonts w:ascii="黑体" w:hAnsi="Times New Roman" w:eastAsia="黑体" w:cs="Times New Roman"/>
      <w:kern w:val="0"/>
      <w:szCs w:val="20"/>
      <w:shd w:val="clear" w:color="FFFFFF" w:fill="FFFFFF"/>
    </w:rPr>
  </w:style>
  <w:style w:type="paragraph" w:customStyle="1" w:styleId="105">
    <w:name w:val="附录图标题1"/>
    <w:basedOn w:val="16"/>
    <w:next w:val="43"/>
    <w:link w:val="107"/>
    <w:autoRedefine/>
    <w:qFormat/>
    <w:uiPriority w:val="0"/>
    <w:pPr>
      <w:spacing w:before="156" w:beforeLines="50" w:after="156" w:afterLines="50" w:line="240" w:lineRule="auto"/>
    </w:pPr>
    <w:rPr>
      <w:rFonts w:ascii="Times New Roman" w:hAnsi="Times New Roman" w:eastAsia="黑体"/>
      <w:b w:val="0"/>
      <w:sz w:val="21"/>
    </w:rPr>
  </w:style>
  <w:style w:type="paragraph" w:customStyle="1" w:styleId="106">
    <w:name w:val="附录表标题1"/>
    <w:basedOn w:val="105"/>
    <w:next w:val="43"/>
    <w:link w:val="108"/>
    <w:autoRedefine/>
    <w:qFormat/>
    <w:uiPriority w:val="0"/>
    <w:pPr>
      <w:spacing w:before="50" w:after="50"/>
    </w:pPr>
  </w:style>
  <w:style w:type="character" w:customStyle="1" w:styleId="107">
    <w:name w:val="附录图标题1 字符"/>
    <w:basedOn w:val="44"/>
    <w:link w:val="105"/>
    <w:autoRedefine/>
    <w:qFormat/>
    <w:uiPriority w:val="0"/>
    <w:rPr>
      <w:rFonts w:ascii="Times New Roman" w:hAnsi="Times New Roman" w:eastAsia="黑体"/>
      <w:b w:val="0"/>
      <w:kern w:val="28"/>
      <w:sz w:val="32"/>
      <w:szCs w:val="32"/>
    </w:rPr>
  </w:style>
  <w:style w:type="character" w:customStyle="1" w:styleId="108">
    <w:name w:val="附录表标题1 字符"/>
    <w:basedOn w:val="107"/>
    <w:link w:val="106"/>
    <w:autoRedefine/>
    <w:qFormat/>
    <w:uiPriority w:val="0"/>
    <w:rPr>
      <w:rFonts w:ascii="Times New Roman" w:hAnsi="Times New Roman" w:eastAsia="黑体"/>
      <w:kern w:val="28"/>
      <w:sz w:val="32"/>
      <w:szCs w:val="32"/>
    </w:rPr>
  </w:style>
  <w:style w:type="paragraph" w:customStyle="1" w:styleId="109">
    <w:name w:val="参考文献、索引"/>
    <w:basedOn w:val="46"/>
    <w:next w:val="43"/>
    <w:link w:val="110"/>
    <w:autoRedefine/>
    <w:qFormat/>
    <w:uiPriority w:val="0"/>
    <w:pPr>
      <w:spacing w:after="284"/>
    </w:pPr>
    <w:rPr>
      <w:rFonts w:ascii="黑体"/>
      <w:sz w:val="21"/>
    </w:rPr>
  </w:style>
  <w:style w:type="character" w:customStyle="1" w:styleId="110">
    <w:name w:val="参考文献、索引 字符"/>
    <w:basedOn w:val="47"/>
    <w:link w:val="109"/>
    <w:autoRedefine/>
    <w:qFormat/>
    <w:uiPriority w:val="0"/>
    <w:rPr>
      <w:rFonts w:ascii="黑体" w:eastAsia="黑体" w:hAnsiTheme="majorHAnsi" w:cstheme="majorBidi"/>
      <w:kern w:val="2"/>
      <w:sz w:val="32"/>
      <w:szCs w:val="32"/>
    </w:rPr>
  </w:style>
  <w:style w:type="character" w:customStyle="1" w:styleId="111">
    <w:name w:val="未处理的提及1"/>
    <w:basedOn w:val="23"/>
    <w:autoRedefine/>
    <w:semiHidden/>
    <w:unhideWhenUsed/>
    <w:qFormat/>
    <w:uiPriority w:val="99"/>
    <w:rPr>
      <w:color w:val="605E5C"/>
      <w:shd w:val="clear" w:color="auto" w:fill="E1DFDD"/>
    </w:rPr>
  </w:style>
  <w:style w:type="character" w:customStyle="1" w:styleId="112">
    <w:name w:val="批注主题 字符"/>
    <w:basedOn w:val="86"/>
    <w:link w:val="20"/>
    <w:autoRedefine/>
    <w:semiHidden/>
    <w:qFormat/>
    <w:uiPriority w:val="99"/>
    <w:rPr>
      <w:rFonts w:ascii="Calibri" w:hAnsi="Calibri" w:cs="Calibri"/>
      <w:b/>
      <w:bCs/>
      <w:kern w:val="2"/>
      <w:sz w:val="21"/>
      <w:szCs w:val="21"/>
    </w:rPr>
  </w:style>
  <w:style w:type="paragraph" w:customStyle="1" w:styleId="113">
    <w:name w:val="修订1"/>
    <w:autoRedefine/>
    <w:hidden/>
    <w:unhideWhenUsed/>
    <w:qFormat/>
    <w:uiPriority w:val="99"/>
    <w:rPr>
      <w:rFonts w:ascii="Calibri" w:hAnsi="Calibri" w:eastAsia="宋体" w:cs="Calibri"/>
      <w:kern w:val="2"/>
      <w:sz w:val="21"/>
      <w:szCs w:val="21"/>
      <w:lang w:val="en-US" w:eastAsia="zh-CN" w:bidi="ar-SA"/>
    </w:rPr>
  </w:style>
  <w:style w:type="paragraph" w:customStyle="1" w:styleId="114">
    <w:name w:val="修订2"/>
    <w:autoRedefine/>
    <w:hidden/>
    <w:unhideWhenUsed/>
    <w:qFormat/>
    <w:uiPriority w:val="99"/>
    <w:rPr>
      <w:rFonts w:ascii="Calibri" w:hAnsi="Calibri" w:eastAsia="宋体" w:cs="Calibri"/>
      <w:kern w:val="2"/>
      <w:sz w:val="21"/>
      <w:szCs w:val="21"/>
      <w:lang w:val="en-US" w:eastAsia="zh-CN" w:bidi="ar-SA"/>
    </w:rPr>
  </w:style>
  <w:style w:type="character" w:customStyle="1" w:styleId="115">
    <w:name w:val="Unresolved Mention"/>
    <w:basedOn w:val="2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footer" Target="footer6.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70EB7C-063A-4DD4-A5C2-C2E0D26D22E7}">
  <ds:schemaRefs/>
</ds:datastoreItem>
</file>

<file path=docProps/app.xml><?xml version="1.0" encoding="utf-8"?>
<Properties xmlns="http://schemas.openxmlformats.org/officeDocument/2006/extended-properties" xmlns:vt="http://schemas.openxmlformats.org/officeDocument/2006/docPropsVTypes">
  <Template>Normal</Template>
  <Pages>18</Pages>
  <Words>5934</Words>
  <Characters>6963</Characters>
  <Lines>380</Lines>
  <Paragraphs>448</Paragraphs>
  <TotalTime>2</TotalTime>
  <ScaleCrop>false</ScaleCrop>
  <LinksUpToDate>false</LinksUpToDate>
  <CharactersWithSpaces>7228</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2025-07-01T07:17:00Z</dcterms:created>
  <dc:creator>段彦芳</dc:creator>
  <cp:lastModifiedBy>wangm</cp:lastModifiedBy>
  <cp:lastPrinted>2019-02-21T06:44:00Z</cp:lastPrinted>
  <dcterms:modified xsi:type="dcterms:W3CDTF">2026-07-30T14:48:58Z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C297F125B4274898B440B24890D747DF_13</vt:lpwstr>
  </property>
  <property fmtid="{D5CDD505-2E9C-101B-9397-08002B2CF9AE}" pid="4" name="KSOTemplateDocerSaveRecord">
    <vt:lpwstr>eyJoZGlkIjoiYmRkYjVkNDdlYTJlODBkMTIzYmQ1ZjdjMjNjZTRhMGQiLCJ1c2VySWQiOiI1MzY1NTcwNDMifQ==</vt:lpwstr>
  </property>
</Properties>
</file>