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D0E92E">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黑体" w:hAnsi="黑体" w:eastAsia="黑体" w:cs="Times New Roman"/>
          <w:sz w:val="24"/>
          <w:szCs w:val="24"/>
          <w:lang w:val="en-US" w:eastAsia="zh-CN"/>
        </w:rPr>
      </w:pPr>
      <w:r>
        <w:rPr>
          <w:rFonts w:ascii="黑体" w:hAnsi="黑体" w:eastAsia="黑体" w:cs="Times New Roman"/>
          <w:sz w:val="24"/>
          <w:szCs w:val="24"/>
        </w:rPr>
        <w:t xml:space="preserve">ICS </w:t>
      </w:r>
      <w:r>
        <w:rPr>
          <w:rFonts w:hint="eastAsia" w:ascii="黑体" w:hAnsi="黑体" w:eastAsia="黑体" w:cs="Times New Roman"/>
          <w:sz w:val="24"/>
          <w:szCs w:val="24"/>
          <w:lang w:val="en-US" w:eastAsia="zh-CN"/>
        </w:rPr>
        <w:t>65 020</w:t>
      </w:r>
    </w:p>
    <w:p w14:paraId="67E5569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宋体" w:hAnsi="宋体" w:eastAsia="宋体" w:cs="Times New Roman"/>
          <w:szCs w:val="22"/>
          <w:lang w:val="en-US" w:eastAsia="zh-CN"/>
        </w:rPr>
      </w:pPr>
      <w:r>
        <w:rPr>
          <w:rFonts w:hint="eastAsia" w:ascii="黑体" w:hAnsi="黑体" w:eastAsia="黑体" w:cs="Times New Roman"/>
          <w:sz w:val="24"/>
          <w:szCs w:val="24"/>
          <w:lang w:val="en-US" w:eastAsia="zh-CN"/>
        </w:rPr>
        <w:t>CCS B 05</w:t>
      </w:r>
    </w:p>
    <w:p w14:paraId="6437866A">
      <w:pPr>
        <w:adjustRightInd/>
        <w:spacing w:line="240" w:lineRule="auto"/>
        <w:rPr>
          <w:rFonts w:ascii="宋体" w:hAnsi="宋体" w:cs="Times New Roman"/>
          <w:szCs w:val="22"/>
        </w:rPr>
      </w:pPr>
    </w:p>
    <w:p w14:paraId="412C8D1D">
      <w:pPr>
        <w:adjustRightInd/>
        <w:spacing w:line="240" w:lineRule="auto"/>
        <w:jc w:val="center"/>
        <w:rPr>
          <w:rFonts w:ascii="宋体" w:hAnsi="宋体" w:cs="Times New Roman"/>
          <w:szCs w:val="22"/>
        </w:rPr>
      </w:pPr>
    </w:p>
    <w:p w14:paraId="413EAF05">
      <w:pPr>
        <w:keepNext w:val="0"/>
        <w:keepLines w:val="0"/>
        <w:pageBreakBefore w:val="0"/>
        <w:widowControl w:val="0"/>
        <w:kinsoku/>
        <w:overflowPunct/>
        <w:topLinePunct w:val="0"/>
        <w:autoSpaceDE/>
        <w:autoSpaceDN/>
        <w:bidi w:val="0"/>
        <w:adjustRightInd/>
        <w:snapToGrid/>
        <w:spacing w:line="240" w:lineRule="auto"/>
        <w:ind w:left="0" w:leftChars="0" w:firstLine="0" w:firstLineChars="0"/>
        <w:jc w:val="center"/>
        <w:textAlignment w:val="auto"/>
        <w:rPr>
          <w:rFonts w:ascii="黑体" w:hAnsi="黑体" w:eastAsia="黑体" w:cs="Times New Roman"/>
          <w:sz w:val="84"/>
          <w:szCs w:val="84"/>
        </w:rPr>
      </w:pPr>
      <w:r>
        <w:rPr>
          <w:rFonts w:hint="eastAsia" w:ascii="黑体" w:hAnsi="黑体" w:eastAsia="黑体" w:cs="Times New Roman"/>
          <w:sz w:val="84"/>
          <w:szCs w:val="84"/>
        </w:rPr>
        <w:t>团   体    标    准</w:t>
      </w:r>
    </w:p>
    <w:p w14:paraId="1CCD356D">
      <w:pPr>
        <w:keepNext w:val="0"/>
        <w:keepLines w:val="0"/>
        <w:pageBreakBefore w:val="0"/>
        <w:widowControl w:val="0"/>
        <w:kinsoku/>
        <w:wordWrap w:val="0"/>
        <w:overflowPunct/>
        <w:topLinePunct w:val="0"/>
        <w:autoSpaceDE/>
        <w:autoSpaceDN/>
        <w:bidi w:val="0"/>
        <w:adjustRightInd/>
        <w:snapToGrid/>
        <w:spacing w:line="240" w:lineRule="auto"/>
        <w:ind w:right="420" w:rightChars="200" w:firstLine="0" w:firstLineChars="0"/>
        <w:jc w:val="right"/>
        <w:textAlignment w:val="auto"/>
        <w:rPr>
          <w:rFonts w:ascii="黑体" w:hAnsi="黑体" w:eastAsia="黑体" w:cs="Times New Roman"/>
          <w:sz w:val="32"/>
          <w:szCs w:val="32"/>
        </w:rPr>
      </w:pPr>
      <w:r>
        <w:rPr>
          <w:rFonts w:hint="eastAsia" w:ascii="黑体" w:hAnsi="黑体" w:eastAsia="黑体" w:cs="Times New Roman"/>
          <w:sz w:val="32"/>
          <w:szCs w:val="32"/>
        </w:rPr>
        <w:t xml:space="preserve">T/ZGDLXH </w:t>
      </w:r>
      <w:r>
        <w:rPr>
          <w:rFonts w:hint="eastAsia" w:ascii="黑体" w:hAnsi="黑体" w:eastAsia="黑体" w:cs="Times New Roman"/>
          <w:sz w:val="32"/>
          <w:szCs w:val="32"/>
          <w:lang w:val="en-US" w:eastAsia="zh-CN"/>
        </w:rPr>
        <w:t>JH</w:t>
      </w:r>
      <w:r>
        <w:rPr>
          <w:rFonts w:hint="eastAsia" w:ascii="黑体" w:hAnsi="黑体" w:eastAsia="黑体" w:cs="Times New Roman"/>
          <w:sz w:val="32"/>
          <w:szCs w:val="32"/>
        </w:rPr>
        <w:t>—</w:t>
      </w:r>
      <w:r>
        <w:rPr>
          <w:rFonts w:hint="eastAsia" w:ascii="黑体" w:hAnsi="黑体" w:eastAsia="黑体" w:cs="Times New Roman"/>
          <w:sz w:val="32"/>
          <w:szCs w:val="32"/>
          <w:lang w:val="en-US" w:eastAsia="zh-CN"/>
        </w:rPr>
        <w:t>008—2025</w:t>
      </w:r>
    </w:p>
    <w:p w14:paraId="07874B93">
      <w:pPr>
        <w:keepNext w:val="0"/>
        <w:keepLines w:val="0"/>
        <w:pageBreakBefore w:val="0"/>
        <w:widowControl w:val="0"/>
        <w:kinsoku/>
        <w:overflowPunct/>
        <w:topLinePunct w:val="0"/>
        <w:autoSpaceDE/>
        <w:autoSpaceDN/>
        <w:bidi w:val="0"/>
        <w:adjustRightInd/>
        <w:snapToGrid/>
        <w:spacing w:line="240" w:lineRule="auto"/>
        <w:ind w:left="-283" w:leftChars="-135" w:firstLine="0" w:firstLineChars="0"/>
        <w:jc w:val="center"/>
        <w:textAlignment w:val="auto"/>
        <w:rPr>
          <w:rFonts w:cs="Times New Roman"/>
          <w:b/>
          <w:sz w:val="48"/>
          <w:szCs w:val="48"/>
        </w:rPr>
      </w:pPr>
      <w:r>
        <w:rPr>
          <w:rFonts w:ascii="Times New Roman" w:hAnsi="Times New Roman" w:cs="Times New Roman"/>
          <w:szCs w:val="24"/>
        </w:rPr>
        <mc:AlternateContent>
          <mc:Choice Requires="wps">
            <w:drawing>
              <wp:anchor distT="0" distB="0" distL="114300" distR="114300" simplePos="0" relativeHeight="251660288" behindDoc="0" locked="0" layoutInCell="1" allowOverlap="1">
                <wp:simplePos x="0" y="0"/>
                <wp:positionH relativeFrom="column">
                  <wp:posOffset>-137160</wp:posOffset>
                </wp:positionH>
                <wp:positionV relativeFrom="paragraph">
                  <wp:posOffset>8890</wp:posOffset>
                </wp:positionV>
                <wp:extent cx="5642610" cy="2540"/>
                <wp:effectExtent l="0" t="9525" r="11430" b="10795"/>
                <wp:wrapNone/>
                <wp:docPr id="5" name="AutoShape 4"/>
                <wp:cNvGraphicFramePr/>
                <a:graphic xmlns:a="http://schemas.openxmlformats.org/drawingml/2006/main">
                  <a:graphicData uri="http://schemas.microsoft.com/office/word/2010/wordprocessingShape">
                    <wps:wsp>
                      <wps:cNvCnPr>
                        <a:cxnSpLocks noChangeShapeType="1"/>
                      </wps:cNvCnPr>
                      <wps:spPr bwMode="auto">
                        <a:xfrm flipV="1">
                          <a:off x="0" y="0"/>
                          <a:ext cx="5642610" cy="2540"/>
                        </a:xfrm>
                        <a:prstGeom prst="straightConnector1">
                          <a:avLst/>
                        </a:prstGeom>
                        <a:noFill/>
                        <a:ln w="19050">
                          <a:solidFill>
                            <a:srgbClr val="000000"/>
                          </a:solidFill>
                          <a:round/>
                        </a:ln>
                      </wps:spPr>
                      <wps:bodyPr/>
                    </wps:wsp>
                  </a:graphicData>
                </a:graphic>
              </wp:anchor>
            </w:drawing>
          </mc:Choice>
          <mc:Fallback>
            <w:pict>
              <v:shape id="AutoShape 4" o:spid="_x0000_s1026" o:spt="32" type="#_x0000_t32" style="position:absolute;left:0pt;flip:y;margin-left:-10.8pt;margin-top:0.7pt;height:0.2pt;width:444.3pt;z-index:251660288;mso-width-relative:page;mso-height-relative:page;" filled="f" stroked="t" coordsize="21600,21600" o:gfxdata="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iTB2JNYAAAAHAQAADwAA&#10;AAAAAAABACAAAAAiAAAAZHJzL2Rvd25yZXYueG1sUEsBAhQAFAAAAAgAh07iQK4QPbjfAQAAwAMA&#10;AA4AAAAAAAAAAQAgAAAAJQEAAGRycy9lMm9Eb2MueG1sUEsFBgAAAAAGAAYAWQEAAHYFAAAAAA==&#10;">
                <v:fill on="f" focussize="0,0"/>
                <v:stroke weight="1.5pt" color="#000000" joinstyle="round"/>
                <v:imagedata o:title=""/>
                <o:lock v:ext="edit" aspectratio="f"/>
              </v:shape>
            </w:pict>
          </mc:Fallback>
        </mc:AlternateContent>
      </w:r>
    </w:p>
    <w:p w14:paraId="6C6B09FC">
      <w:pPr>
        <w:adjustRightInd/>
        <w:spacing w:line="240" w:lineRule="auto"/>
        <w:rPr>
          <w:rFonts w:cs="Times New Roman"/>
          <w:b/>
          <w:sz w:val="48"/>
          <w:szCs w:val="48"/>
        </w:rPr>
      </w:pPr>
    </w:p>
    <w:p w14:paraId="616B029A">
      <w:pPr>
        <w:adjustRightInd/>
        <w:spacing w:line="240" w:lineRule="auto"/>
        <w:jc w:val="center"/>
        <w:rPr>
          <w:rFonts w:cs="Times New Roman"/>
          <w:b/>
        </w:rPr>
      </w:pPr>
    </w:p>
    <w:p w14:paraId="614FCA1A">
      <w:pPr>
        <w:adjustRightInd/>
        <w:spacing w:line="240" w:lineRule="auto"/>
        <w:jc w:val="center"/>
        <w:rPr>
          <w:rFonts w:cs="Times New Roman"/>
          <w:b/>
        </w:rPr>
      </w:pPr>
    </w:p>
    <w:p w14:paraId="4D092076">
      <w:pPr>
        <w:spacing w:before="156" w:beforeLines="50" w:after="156" w:afterLines="50" w:line="240" w:lineRule="auto"/>
        <w:jc w:val="center"/>
        <w:rPr>
          <w:rFonts w:ascii="Times New Roman" w:hAnsi="Times New Roman" w:eastAsia="黑体"/>
          <w:sz w:val="48"/>
          <w:szCs w:val="48"/>
        </w:rPr>
      </w:pPr>
      <w:r>
        <w:rPr>
          <w:rFonts w:hint="eastAsia" w:ascii="Times New Roman" w:hAnsi="Times New Roman" w:eastAsia="黑体"/>
          <w:sz w:val="48"/>
          <w:szCs w:val="48"/>
        </w:rPr>
        <w:t>地标生境</w:t>
      </w:r>
      <w:r>
        <w:rPr>
          <w:rFonts w:hint="eastAsia" w:ascii="Times New Roman" w:hAnsi="Times New Roman" w:eastAsia="黑体"/>
          <w:sz w:val="48"/>
          <w:szCs w:val="48"/>
          <w:lang w:val="en-US" w:eastAsia="zh-CN"/>
        </w:rPr>
        <w:t xml:space="preserve"> </w:t>
      </w:r>
      <w:r>
        <w:rPr>
          <w:rFonts w:hint="eastAsia" w:ascii="Times New Roman" w:hAnsi="Times New Roman" w:eastAsia="黑体"/>
          <w:sz w:val="48"/>
          <w:szCs w:val="48"/>
        </w:rPr>
        <w:t>郧阳油橄榄</w:t>
      </w:r>
      <w:r>
        <w:rPr>
          <w:rFonts w:hint="eastAsia" w:ascii="Times New Roman" w:hAnsi="Times New Roman" w:eastAsia="黑体"/>
          <w:sz w:val="48"/>
          <w:szCs w:val="48"/>
          <w:lang w:val="en-US" w:eastAsia="zh-CN"/>
        </w:rPr>
        <w:t>北亚热带低山丘陵案例</w:t>
      </w:r>
      <w:r>
        <w:rPr>
          <w:rFonts w:ascii="Times New Roman" w:hAnsi="Times New Roman" w:eastAsia="黑体"/>
          <w:sz w:val="48"/>
          <w:szCs w:val="48"/>
        </w:rPr>
        <w:t xml:space="preserve"> </w:t>
      </w:r>
    </w:p>
    <w:p w14:paraId="722F209C">
      <w:pPr>
        <w:jc w:val="center"/>
        <w:rPr>
          <w:rFonts w:ascii="Times New Roman" w:hAnsi="Times New Roman" w:eastAsia="黑体" w:cs="Times New Roman"/>
          <w:sz w:val="36"/>
          <w:szCs w:val="24"/>
        </w:rPr>
      </w:pPr>
      <w:r>
        <w:rPr>
          <w:rFonts w:hint="eastAsia" w:ascii="Times New Roman" w:hAnsi="Times New Roman" w:eastAsia="黑体" w:cs="Times New Roman"/>
          <w:color w:val="auto"/>
          <w:sz w:val="36"/>
          <w:szCs w:val="24"/>
        </w:rPr>
        <w:t>GIES: Yunyang Olive in the North Subtropical Low-Hill Region</w:t>
      </w:r>
      <w:r>
        <w:rPr>
          <w:rFonts w:hint="eastAsia" w:ascii="Times New Roman" w:hAnsi="Times New Roman" w:eastAsia="黑体" w:cs="Times New Roman"/>
          <w:sz w:val="36"/>
          <w:szCs w:val="24"/>
        </w:rPr>
        <w:t xml:space="preserve"> </w:t>
      </w:r>
    </w:p>
    <w:p w14:paraId="15030765">
      <w:pPr>
        <w:jc w:val="center"/>
        <w:rPr>
          <w:rFonts w:ascii="Times New Roman" w:hAnsi="Times New Roman" w:eastAsia="黑体"/>
          <w:sz w:val="32"/>
          <w:szCs w:val="32"/>
        </w:rPr>
      </w:pPr>
      <w:r>
        <w:rPr>
          <w:rFonts w:hint="eastAsia" w:ascii="Times New Roman" w:hAnsi="Times New Roman" w:eastAsia="黑体"/>
          <w:sz w:val="32"/>
          <w:szCs w:val="32"/>
        </w:rPr>
        <w:t>(征求意见稿</w:t>
      </w:r>
      <w:r>
        <w:rPr>
          <w:rFonts w:ascii="Times New Roman" w:hAnsi="Times New Roman" w:eastAsia="黑体"/>
          <w:sz w:val="32"/>
          <w:szCs w:val="32"/>
        </w:rPr>
        <w:t>)</w:t>
      </w:r>
    </w:p>
    <w:p w14:paraId="303F77F2">
      <w:pPr>
        <w:adjustRightInd/>
        <w:spacing w:line="240" w:lineRule="auto"/>
        <w:jc w:val="center"/>
        <w:rPr>
          <w:rFonts w:ascii="Times New Roman" w:hAnsi="Times New Roman" w:eastAsia="黑体" w:cs="Times New Roman"/>
          <w:sz w:val="32"/>
          <w:szCs w:val="32"/>
        </w:rPr>
      </w:pPr>
    </w:p>
    <w:p w14:paraId="0DE958FB">
      <w:pPr>
        <w:spacing w:before="156" w:beforeLines="50" w:after="156" w:afterLines="50" w:line="240" w:lineRule="auto"/>
        <w:jc w:val="center"/>
        <w:rPr>
          <w:rFonts w:ascii="Times New Roman" w:hAnsi="Times New Roman" w:eastAsia="黑体"/>
          <w:sz w:val="36"/>
        </w:rPr>
      </w:pPr>
    </w:p>
    <w:p w14:paraId="6FE8E2F9">
      <w:pPr>
        <w:spacing w:before="156" w:beforeLines="50" w:after="156" w:afterLines="50" w:line="240" w:lineRule="auto"/>
        <w:jc w:val="center"/>
        <w:rPr>
          <w:rFonts w:ascii="Times New Roman" w:hAnsi="Times New Roman" w:eastAsia="黑体"/>
          <w:sz w:val="36"/>
        </w:rPr>
      </w:pPr>
    </w:p>
    <w:p w14:paraId="3DD60B94">
      <w:pPr>
        <w:spacing w:before="156" w:beforeLines="50" w:after="156" w:afterLines="50" w:line="240" w:lineRule="auto"/>
        <w:jc w:val="center"/>
        <w:rPr>
          <w:rFonts w:ascii="Times New Roman" w:hAnsi="Times New Roman" w:eastAsia="黑体"/>
          <w:sz w:val="36"/>
        </w:rPr>
      </w:pPr>
      <w:bookmarkStart w:id="84" w:name="_GoBack"/>
      <w:bookmarkEnd w:id="84"/>
    </w:p>
    <w:p w14:paraId="503BC259">
      <w:pPr>
        <w:spacing w:before="156" w:beforeLines="50" w:after="156" w:afterLines="50" w:line="240" w:lineRule="auto"/>
        <w:ind w:left="0" w:leftChars="0" w:firstLine="0" w:firstLineChars="0"/>
        <w:jc w:val="both"/>
        <w:rPr>
          <w:rFonts w:ascii="Times New Roman" w:hAnsi="Times New Roman" w:eastAsia="黑体"/>
          <w:sz w:val="36"/>
        </w:rPr>
      </w:pPr>
    </w:p>
    <w:p w14:paraId="48F1A466">
      <w:pPr>
        <w:tabs>
          <w:tab w:val="left" w:pos="8400"/>
        </w:tabs>
        <w:adjustRightInd/>
        <w:spacing w:line="600" w:lineRule="auto"/>
        <w:ind w:left="0" w:leftChars="0" w:firstLine="0" w:firstLineChars="0"/>
        <w:jc w:val="both"/>
        <w:rPr>
          <w:rFonts w:ascii="黑体" w:hAnsi="黑体" w:eastAsia="黑体" w:cs="Times New Roman"/>
          <w:sz w:val="30"/>
          <w:szCs w:val="30"/>
        </w:rPr>
      </w:pPr>
      <w:r>
        <w:rPr>
          <w:rFonts w:cs="Times New Roman"/>
          <w:sz w:val="30"/>
          <w:szCs w:val="30"/>
        </w:rPr>
        <mc:AlternateContent>
          <mc:Choice Requires="wps">
            <w:drawing>
              <wp:anchor distT="0" distB="0" distL="114300" distR="114300" simplePos="0" relativeHeight="251661312" behindDoc="0" locked="0" layoutInCell="1" allowOverlap="1">
                <wp:simplePos x="0" y="0"/>
                <wp:positionH relativeFrom="column">
                  <wp:posOffset>-172085</wp:posOffset>
                </wp:positionH>
                <wp:positionV relativeFrom="paragraph">
                  <wp:posOffset>372110</wp:posOffset>
                </wp:positionV>
                <wp:extent cx="5746750" cy="35560"/>
                <wp:effectExtent l="0" t="9525" r="13970" b="15875"/>
                <wp:wrapNone/>
                <wp:docPr id="22" name="AutoShape 4"/>
                <wp:cNvGraphicFramePr/>
                <a:graphic xmlns:a="http://schemas.openxmlformats.org/drawingml/2006/main">
                  <a:graphicData uri="http://schemas.microsoft.com/office/word/2010/wordprocessingShape">
                    <wps:wsp>
                      <wps:cNvCnPr>
                        <a:cxnSpLocks noChangeShapeType="1"/>
                      </wps:cNvCnPr>
                      <wps:spPr bwMode="auto">
                        <a:xfrm flipV="1">
                          <a:off x="0" y="0"/>
                          <a:ext cx="5746750" cy="35560"/>
                        </a:xfrm>
                        <a:prstGeom prst="straightConnector1">
                          <a:avLst/>
                        </a:prstGeom>
                        <a:noFill/>
                        <a:ln w="19050">
                          <a:solidFill>
                            <a:srgbClr val="000000"/>
                          </a:solidFill>
                          <a:round/>
                        </a:ln>
                      </wps:spPr>
                      <wps:bodyPr/>
                    </wps:wsp>
                  </a:graphicData>
                </a:graphic>
              </wp:anchor>
            </w:drawing>
          </mc:Choice>
          <mc:Fallback>
            <w:pict>
              <v:shape id="AutoShape 4" o:spid="_x0000_s1026" o:spt="32" type="#_x0000_t32" style="position:absolute;left:0pt;flip:y;margin-left:-13.55pt;margin-top:29.3pt;height:2.8pt;width:452.5pt;z-index:251661312;mso-width-relative:page;mso-height-relative:page;" filled="f" stroked="t" coordsize="21600,21600" o:gfxdata="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AhNjH9oAAAAJAQAA&#10;DwAAAAAAAAABACAAAAAiAAAAZHJzL2Rvd25yZXYueG1sUEsBAhQAFAAAAAgAh07iQNfmU7LeAQAA&#10;wgMAAA4AAAAAAAAAAQAgAAAAKQEAAGRycy9lMm9Eb2MueG1sUEsFBgAAAAAGAAYAWQEAAHkFAAAA&#10;AA==&#10;">
                <v:fill on="f" focussize="0,0"/>
                <v:stroke weight="1.5pt" color="#000000" joinstyle="round"/>
                <v:imagedata o:title=""/>
                <o:lock v:ext="edit" aspectratio="f"/>
              </v:shape>
            </w:pict>
          </mc:Fallback>
        </mc:AlternateContent>
      </w:r>
      <w:r>
        <w:rPr>
          <w:rFonts w:hint="eastAsia" w:ascii="黑体" w:hAnsi="黑体" w:eastAsia="黑体" w:cs="Times New Roman"/>
          <w:sz w:val="30"/>
          <w:szCs w:val="30"/>
        </w:rPr>
        <w:t>XXXX</w:t>
      </w:r>
      <w:r>
        <w:rPr>
          <w:rFonts w:ascii="黑体" w:hAnsi="黑体" w:eastAsia="黑体" w:cs="Times New Roman"/>
          <w:sz w:val="30"/>
          <w:szCs w:val="30"/>
        </w:rPr>
        <w:t>-xx-xx</w:t>
      </w:r>
      <w:r>
        <w:rPr>
          <w:rFonts w:hint="eastAsia" w:ascii="黑体" w:hAnsi="黑体" w:eastAsia="黑体" w:cs="Times New Roman"/>
          <w:sz w:val="30"/>
          <w:szCs w:val="30"/>
        </w:rPr>
        <w:t>（年-月-日）发布</w:t>
      </w:r>
      <w:r>
        <w:rPr>
          <w:rFonts w:ascii="黑体" w:hAnsi="黑体" w:eastAsia="黑体" w:cs="Times New Roman"/>
          <w:sz w:val="30"/>
          <w:szCs w:val="30"/>
        </w:rPr>
        <w:t xml:space="preserve">    </w:t>
      </w:r>
      <w:r>
        <w:rPr>
          <w:rFonts w:hint="eastAsia" w:ascii="黑体" w:hAnsi="黑体" w:eastAsia="黑体" w:cs="Times New Roman"/>
          <w:sz w:val="30"/>
          <w:szCs w:val="30"/>
        </w:rPr>
        <w:t>XXXX</w:t>
      </w:r>
      <w:r>
        <w:rPr>
          <w:rFonts w:ascii="黑体" w:hAnsi="黑体" w:eastAsia="黑体" w:cs="Times New Roman"/>
          <w:sz w:val="30"/>
          <w:szCs w:val="30"/>
        </w:rPr>
        <w:t>-xx-xx</w:t>
      </w:r>
      <w:r>
        <w:rPr>
          <w:rFonts w:hint="eastAsia" w:ascii="黑体" w:hAnsi="黑体" w:eastAsia="黑体" w:cs="Times New Roman"/>
          <w:sz w:val="30"/>
          <w:szCs w:val="30"/>
        </w:rPr>
        <w:t>（年-</w:t>
      </w:r>
      <w:r>
        <w:rPr>
          <w:rFonts w:hint="eastAsia" w:ascii="黑体" w:hAnsi="黑体" w:eastAsia="黑体" w:cs="Times New Roman"/>
          <w:sz w:val="30"/>
          <w:szCs w:val="30"/>
          <w:lang w:val="en-US" w:eastAsia="zh-CN"/>
        </w:rPr>
        <w:t>月-</w:t>
      </w:r>
      <w:r>
        <w:rPr>
          <w:rFonts w:hint="eastAsia" w:ascii="黑体" w:hAnsi="黑体" w:eastAsia="黑体" w:cs="Times New Roman"/>
          <w:sz w:val="30"/>
          <w:szCs w:val="30"/>
        </w:rPr>
        <w:t>日）</w:t>
      </w:r>
      <w:r>
        <w:rPr>
          <w:rFonts w:hint="eastAsia" w:ascii="黑体" w:hAnsi="黑体" w:eastAsia="黑体" w:cs="Times New Roman"/>
          <w:sz w:val="30"/>
          <w:szCs w:val="30"/>
          <w:lang w:val="en-US" w:eastAsia="zh-CN"/>
        </w:rPr>
        <w:t>实</w:t>
      </w:r>
      <w:r>
        <w:rPr>
          <w:rFonts w:hint="eastAsia" w:ascii="黑体" w:hAnsi="黑体" w:eastAsia="黑体" w:cs="Times New Roman"/>
          <w:sz w:val="30"/>
          <w:szCs w:val="30"/>
        </w:rPr>
        <w:t>施</w:t>
      </w:r>
    </w:p>
    <w:p w14:paraId="0A800649">
      <w:pPr>
        <w:keepNext w:val="0"/>
        <w:keepLines w:val="0"/>
        <w:pageBreakBefore w:val="0"/>
        <w:widowControl w:val="0"/>
        <w:kinsoku/>
        <w:wordWrap/>
        <w:overflowPunct/>
        <w:topLinePunct w:val="0"/>
        <w:autoSpaceDE/>
        <w:autoSpaceDN/>
        <w:bidi w:val="0"/>
        <w:adjustRightInd w:val="0"/>
        <w:snapToGrid/>
        <w:ind w:firstLine="0" w:firstLineChars="0"/>
        <w:jc w:val="center"/>
        <w:textAlignment w:val="auto"/>
        <w:rPr>
          <w:rFonts w:ascii="黑体" w:hAnsi="黑体" w:eastAsia="黑体" w:cs="Times New Roman"/>
          <w:spacing w:val="60"/>
          <w:sz w:val="30"/>
          <w:szCs w:val="30"/>
        </w:rPr>
      </w:pPr>
      <w:r>
        <w:rPr>
          <w:rFonts w:hint="eastAsia" w:ascii="黑体" w:hAnsi="黑体" w:eastAsia="黑体" w:cs="Times New Roman"/>
          <w:sz w:val="30"/>
          <w:szCs w:val="30"/>
        </w:rPr>
        <w:t>中国地理学会</w:t>
      </w:r>
      <w:r>
        <w:rPr>
          <w:rFonts w:hint="eastAsia" w:ascii="黑体" w:hAnsi="黑体" w:eastAsia="黑体"/>
          <w:sz w:val="30"/>
          <w:szCs w:val="30"/>
        </w:rPr>
        <w:t xml:space="preserve">   </w:t>
      </w:r>
      <w:r>
        <w:rPr>
          <w:rFonts w:hint="eastAsia" w:ascii="黑体" w:hAnsi="黑体" w:eastAsia="黑体" w:cs="Times New Roman"/>
          <w:spacing w:val="60"/>
          <w:sz w:val="30"/>
          <w:szCs w:val="30"/>
        </w:rPr>
        <w:t>发布</w:t>
      </w:r>
    </w:p>
    <w:p w14:paraId="60FAF7B6">
      <w:pPr>
        <w:pStyle w:val="11"/>
        <w:spacing w:before="156" w:after="156"/>
        <w:rPr>
          <w:rFonts w:hint="eastAsia"/>
        </w:rPr>
      </w:pPr>
    </w:p>
    <w:p w14:paraId="12E88B6A">
      <w:pPr>
        <w:pStyle w:val="10"/>
        <w:rPr>
          <w:rFonts w:hint="eastAsia"/>
        </w:rPr>
      </w:pPr>
    </w:p>
    <w:p w14:paraId="4FA42D9B">
      <w:pPr>
        <w:pStyle w:val="10"/>
        <w:rPr>
          <w:rFonts w:hint="eastAsia"/>
        </w:rPr>
      </w:pPr>
    </w:p>
    <w:p w14:paraId="1987F4E3">
      <w:pPr>
        <w:pStyle w:val="10"/>
        <w:rPr>
          <w:rFonts w:hint="eastAsia"/>
        </w:rPr>
      </w:pPr>
    </w:p>
    <w:p w14:paraId="15F9DD30">
      <w:pPr>
        <w:pStyle w:val="10"/>
        <w:rPr>
          <w:rFonts w:hint="eastAsia"/>
        </w:rPr>
        <w:sectPr>
          <w:pgSz w:w="11906" w:h="16838"/>
          <w:pgMar w:top="1440" w:right="1486" w:bottom="1440" w:left="1800" w:header="851" w:footer="992" w:gutter="0"/>
          <w:cols w:space="425" w:num="1"/>
          <w:docGrid w:type="lines" w:linePitch="312" w:charSpace="0"/>
        </w:sectPr>
      </w:pPr>
    </w:p>
    <w:sdt>
      <w:sdtPr>
        <w:rPr>
          <w:rFonts w:ascii="宋体" w:hAnsi="宋体" w:eastAsia="宋体" w:cs="Calibri"/>
          <w:kern w:val="2"/>
          <w:sz w:val="21"/>
          <w:szCs w:val="21"/>
          <w:lang w:val="en-US" w:eastAsia="zh-CN" w:bidi="ar-SA"/>
        </w:rPr>
        <w:id w:val="147462590"/>
        <w15:color w:val="DBDBDB"/>
        <w:docPartObj>
          <w:docPartGallery w:val="Table of Contents"/>
          <w:docPartUnique/>
        </w:docPartObj>
      </w:sdtPr>
      <w:sdtEndPr>
        <w:rPr>
          <w:rFonts w:hint="eastAsia" w:eastAsia="黑体" w:asciiTheme="majorHAnsi" w:hAnsiTheme="majorHAnsi" w:cstheme="majorBidi"/>
          <w:b w:val="0"/>
          <w:bCs/>
          <w:kern w:val="2"/>
          <w:sz w:val="32"/>
          <w:szCs w:val="32"/>
          <w:lang w:val="en-US" w:eastAsia="zh-CN" w:bidi="ar-SA"/>
        </w:rPr>
      </w:sdtEndPr>
      <w:sdtContent>
        <w:p w14:paraId="424CD4B9">
          <w:pPr>
            <w:keepNext w:val="0"/>
            <w:keepLines w:val="0"/>
            <w:pageBreakBefore w:val="0"/>
            <w:widowControl w:val="0"/>
            <w:kinsoku/>
            <w:wordWrap/>
            <w:overflowPunct/>
            <w:topLinePunct w:val="0"/>
            <w:autoSpaceDE/>
            <w:autoSpaceDN/>
            <w:bidi w:val="0"/>
            <w:adjustRightInd w:val="0"/>
            <w:snapToGrid/>
            <w:spacing w:before="0" w:beforeLines="0" w:after="0" w:afterLines="0" w:line="240" w:lineRule="auto"/>
            <w:ind w:left="0" w:leftChars="0" w:right="0" w:rightChars="0" w:firstLine="0" w:firstLineChars="0"/>
            <w:jc w:val="center"/>
            <w:textAlignment w:val="auto"/>
          </w:pPr>
          <w:r>
            <w:rPr>
              <w:rStyle w:val="32"/>
            </w:rPr>
            <w:t>目</w:t>
          </w:r>
          <w:r>
            <w:rPr>
              <w:rStyle w:val="32"/>
              <w:rFonts w:hint="eastAsia" w:eastAsia="黑体"/>
              <w:lang w:val="en-US" w:eastAsia="zh-CN"/>
            </w:rPr>
            <w:t xml:space="preserve">   </w:t>
          </w:r>
          <w:r>
            <w:rPr>
              <w:rStyle w:val="32"/>
            </w:rPr>
            <w:t>录</w:t>
          </w:r>
        </w:p>
        <w:p w14:paraId="31FE39B3">
          <w:pPr>
            <w:pStyle w:val="5"/>
            <w:tabs>
              <w:tab w:val="right" w:leader="dot" w:pos="8306"/>
            </w:tabs>
          </w:pPr>
          <w:r>
            <w:rPr>
              <w:rFonts w:hint="eastAsia"/>
            </w:rPr>
            <w:fldChar w:fldCharType="begin"/>
          </w:r>
          <w:r>
            <w:rPr>
              <w:rFonts w:hint="eastAsia"/>
            </w:rPr>
            <w:instrText xml:space="preserve">TOC \o "1-2" \h \u </w:instrText>
          </w:r>
          <w:r>
            <w:rPr>
              <w:rFonts w:hint="eastAsia"/>
            </w:rPr>
            <w:fldChar w:fldCharType="separate"/>
          </w:r>
          <w:r>
            <w:rPr>
              <w:rFonts w:hint="eastAsia"/>
            </w:rPr>
            <w:fldChar w:fldCharType="begin"/>
          </w:r>
          <w:r>
            <w:rPr>
              <w:rFonts w:hint="eastAsia"/>
            </w:rPr>
            <w:instrText xml:space="preserve"> HYPERLINK \l _Toc24459 </w:instrText>
          </w:r>
          <w:r>
            <w:rPr>
              <w:rFonts w:hint="eastAsia"/>
            </w:rPr>
            <w:fldChar w:fldCharType="separate"/>
          </w:r>
          <w:r>
            <w:rPr>
              <w:rFonts w:hint="eastAsia"/>
            </w:rPr>
            <w:t>前    言</w:t>
          </w:r>
          <w:r>
            <w:tab/>
          </w:r>
          <w:r>
            <w:fldChar w:fldCharType="begin"/>
          </w:r>
          <w:r>
            <w:instrText xml:space="preserve"> PAGEREF _Toc24459 \h </w:instrText>
          </w:r>
          <w:r>
            <w:fldChar w:fldCharType="separate"/>
          </w:r>
          <w:r>
            <w:t>I</w:t>
          </w:r>
          <w:r>
            <w:fldChar w:fldCharType="end"/>
          </w:r>
          <w:r>
            <w:rPr>
              <w:rFonts w:hint="eastAsia"/>
            </w:rPr>
            <w:fldChar w:fldCharType="end"/>
          </w:r>
        </w:p>
        <w:p w14:paraId="66BCD703">
          <w:pPr>
            <w:pStyle w:val="5"/>
            <w:tabs>
              <w:tab w:val="right" w:leader="dot" w:pos="8306"/>
            </w:tabs>
          </w:pPr>
          <w:r>
            <w:rPr>
              <w:rFonts w:hint="eastAsia"/>
            </w:rPr>
            <w:fldChar w:fldCharType="begin"/>
          </w:r>
          <w:r>
            <w:rPr>
              <w:rFonts w:hint="eastAsia"/>
            </w:rPr>
            <w:instrText xml:space="preserve"> HYPERLINK \l _Toc11073 </w:instrText>
          </w:r>
          <w:r>
            <w:rPr>
              <w:rFonts w:hint="eastAsia"/>
            </w:rPr>
            <w:fldChar w:fldCharType="separate"/>
          </w:r>
          <w:r>
            <w:rPr>
              <w:rFonts w:hint="eastAsia"/>
            </w:rPr>
            <w:t xml:space="preserve">引 </w:t>
          </w:r>
          <w:r>
            <w:t xml:space="preserve">   </w:t>
          </w:r>
          <w:r>
            <w:rPr>
              <w:rFonts w:hint="eastAsia"/>
            </w:rPr>
            <w:t>言</w:t>
          </w:r>
          <w:r>
            <w:tab/>
          </w:r>
          <w:r>
            <w:fldChar w:fldCharType="begin"/>
          </w:r>
          <w:r>
            <w:instrText xml:space="preserve"> PAGEREF _Toc11073 \h </w:instrText>
          </w:r>
          <w:r>
            <w:fldChar w:fldCharType="separate"/>
          </w:r>
          <w:r>
            <w:t>II</w:t>
          </w:r>
          <w:r>
            <w:fldChar w:fldCharType="end"/>
          </w:r>
          <w:r>
            <w:rPr>
              <w:rFonts w:hint="eastAsia"/>
            </w:rPr>
            <w:fldChar w:fldCharType="end"/>
          </w:r>
        </w:p>
        <w:p w14:paraId="0326E6D5">
          <w:pPr>
            <w:pStyle w:val="5"/>
            <w:tabs>
              <w:tab w:val="right" w:leader="dot" w:pos="8306"/>
            </w:tabs>
          </w:pPr>
          <w:r>
            <w:rPr>
              <w:rFonts w:hint="eastAsia"/>
            </w:rPr>
            <w:fldChar w:fldCharType="begin"/>
          </w:r>
          <w:r>
            <w:rPr>
              <w:rFonts w:hint="eastAsia"/>
            </w:rPr>
            <w:instrText xml:space="preserve"> HYPERLINK \l _Toc4836 </w:instrText>
          </w:r>
          <w:r>
            <w:rPr>
              <w:rFonts w:hint="eastAsia"/>
            </w:rPr>
            <w:fldChar w:fldCharType="separate"/>
          </w:r>
          <w:r>
            <w:rPr>
              <w:rFonts w:hint="eastAsia"/>
            </w:rPr>
            <w:t>地标生境</w:t>
          </w:r>
          <w:r>
            <w:rPr>
              <w:rFonts w:hint="eastAsia"/>
              <w:lang w:val="en-US" w:eastAsia="zh-CN"/>
            </w:rPr>
            <w:t xml:space="preserve"> </w:t>
          </w:r>
          <w:r>
            <w:rPr>
              <w:rFonts w:hint="eastAsia"/>
            </w:rPr>
            <w:t>郧阳油橄榄</w:t>
          </w:r>
          <w:r>
            <w:rPr>
              <w:rFonts w:hint="eastAsia"/>
              <w:lang w:val="en-US" w:eastAsia="zh-CN"/>
            </w:rPr>
            <w:t>北亚热带低山丘陵案例</w:t>
          </w:r>
          <w:r>
            <w:tab/>
          </w:r>
          <w:r>
            <w:fldChar w:fldCharType="begin"/>
          </w:r>
          <w:r>
            <w:instrText xml:space="preserve"> PAGEREF _Toc4836 \h </w:instrText>
          </w:r>
          <w:r>
            <w:fldChar w:fldCharType="separate"/>
          </w:r>
          <w:r>
            <w:t>1</w:t>
          </w:r>
          <w:r>
            <w:fldChar w:fldCharType="end"/>
          </w:r>
          <w:r>
            <w:rPr>
              <w:rFonts w:hint="eastAsia"/>
            </w:rPr>
            <w:fldChar w:fldCharType="end"/>
          </w:r>
        </w:p>
        <w:p w14:paraId="50778C53">
          <w:pPr>
            <w:pStyle w:val="5"/>
            <w:tabs>
              <w:tab w:val="right" w:leader="dot" w:pos="8306"/>
            </w:tabs>
          </w:pPr>
          <w:r>
            <w:rPr>
              <w:rFonts w:hint="eastAsia"/>
            </w:rPr>
            <w:fldChar w:fldCharType="begin"/>
          </w:r>
          <w:r>
            <w:rPr>
              <w:rFonts w:hint="eastAsia"/>
            </w:rPr>
            <w:instrText xml:space="preserve"> HYPERLINK \l _Toc6361 </w:instrText>
          </w:r>
          <w:r>
            <w:rPr>
              <w:rFonts w:hint="eastAsia"/>
            </w:rPr>
            <w:fldChar w:fldCharType="separate"/>
          </w:r>
          <w:r>
            <w:rPr>
              <w:rFonts w:hint="eastAsia" w:ascii="黑体" w:hAnsi="Times New Roman" w:eastAsia="黑体"/>
              <w:bCs w:val="0"/>
              <w:i w:val="0"/>
              <w:iCs w:val="0"/>
              <w:szCs w:val="21"/>
            </w:rPr>
            <w:t xml:space="preserve">1 </w:t>
          </w:r>
          <w:r>
            <w:rPr>
              <w:rFonts w:hint="eastAsia"/>
            </w:rPr>
            <w:t>范围</w:t>
          </w:r>
          <w:r>
            <w:tab/>
          </w:r>
          <w:r>
            <w:fldChar w:fldCharType="begin"/>
          </w:r>
          <w:r>
            <w:instrText xml:space="preserve"> PAGEREF _Toc6361 \h </w:instrText>
          </w:r>
          <w:r>
            <w:fldChar w:fldCharType="separate"/>
          </w:r>
          <w:r>
            <w:t>1</w:t>
          </w:r>
          <w:r>
            <w:fldChar w:fldCharType="end"/>
          </w:r>
          <w:r>
            <w:rPr>
              <w:rFonts w:hint="eastAsia"/>
            </w:rPr>
            <w:fldChar w:fldCharType="end"/>
          </w:r>
        </w:p>
        <w:p w14:paraId="776CE0B0">
          <w:pPr>
            <w:pStyle w:val="5"/>
            <w:tabs>
              <w:tab w:val="right" w:leader="dot" w:pos="8306"/>
            </w:tabs>
          </w:pPr>
          <w:r>
            <w:rPr>
              <w:rFonts w:hint="eastAsia"/>
            </w:rPr>
            <w:fldChar w:fldCharType="begin"/>
          </w:r>
          <w:r>
            <w:rPr>
              <w:rFonts w:hint="eastAsia"/>
            </w:rPr>
            <w:instrText xml:space="preserve"> HYPERLINK \l _Toc14541 </w:instrText>
          </w:r>
          <w:r>
            <w:rPr>
              <w:rFonts w:hint="eastAsia"/>
            </w:rPr>
            <w:fldChar w:fldCharType="separate"/>
          </w:r>
          <w:r>
            <w:rPr>
              <w:rFonts w:hint="eastAsia" w:ascii="黑体" w:hAnsi="Times New Roman" w:eastAsia="黑体"/>
              <w:bCs w:val="0"/>
              <w:i w:val="0"/>
              <w:iCs w:val="0"/>
              <w:szCs w:val="21"/>
            </w:rPr>
            <w:t xml:space="preserve">2 </w:t>
          </w:r>
          <w:r>
            <w:rPr>
              <w:rFonts w:hint="eastAsia"/>
            </w:rPr>
            <w:t>规范性引用文件</w:t>
          </w:r>
          <w:r>
            <w:tab/>
          </w:r>
          <w:r>
            <w:fldChar w:fldCharType="begin"/>
          </w:r>
          <w:r>
            <w:instrText xml:space="preserve"> PAGEREF _Toc14541 \h </w:instrText>
          </w:r>
          <w:r>
            <w:fldChar w:fldCharType="separate"/>
          </w:r>
          <w:r>
            <w:t>1</w:t>
          </w:r>
          <w:r>
            <w:fldChar w:fldCharType="end"/>
          </w:r>
          <w:r>
            <w:rPr>
              <w:rFonts w:hint="eastAsia"/>
            </w:rPr>
            <w:fldChar w:fldCharType="end"/>
          </w:r>
        </w:p>
        <w:p w14:paraId="2C9D5726">
          <w:pPr>
            <w:pStyle w:val="5"/>
            <w:tabs>
              <w:tab w:val="right" w:leader="dot" w:pos="8306"/>
            </w:tabs>
          </w:pPr>
          <w:r>
            <w:rPr>
              <w:rFonts w:hint="eastAsia"/>
            </w:rPr>
            <w:fldChar w:fldCharType="begin"/>
          </w:r>
          <w:r>
            <w:rPr>
              <w:rFonts w:hint="eastAsia"/>
            </w:rPr>
            <w:instrText xml:space="preserve"> HYPERLINK \l _Toc18987 </w:instrText>
          </w:r>
          <w:r>
            <w:rPr>
              <w:rFonts w:hint="eastAsia"/>
            </w:rPr>
            <w:fldChar w:fldCharType="separate"/>
          </w:r>
          <w:r>
            <w:rPr>
              <w:rFonts w:hint="eastAsia" w:ascii="黑体" w:hAnsi="Times New Roman" w:eastAsia="黑体"/>
              <w:bCs w:val="0"/>
              <w:i w:val="0"/>
              <w:iCs w:val="0"/>
              <w:szCs w:val="21"/>
            </w:rPr>
            <w:t xml:space="preserve">3 </w:t>
          </w:r>
          <w:r>
            <w:rPr>
              <w:rFonts w:hint="eastAsia"/>
            </w:rPr>
            <w:t>术语和定义</w:t>
          </w:r>
          <w:r>
            <w:tab/>
          </w:r>
          <w:r>
            <w:fldChar w:fldCharType="begin"/>
          </w:r>
          <w:r>
            <w:instrText xml:space="preserve"> PAGEREF _Toc18987 \h </w:instrText>
          </w:r>
          <w:r>
            <w:fldChar w:fldCharType="separate"/>
          </w:r>
          <w:r>
            <w:t>2</w:t>
          </w:r>
          <w:r>
            <w:fldChar w:fldCharType="end"/>
          </w:r>
          <w:r>
            <w:rPr>
              <w:rFonts w:hint="eastAsia"/>
            </w:rPr>
            <w:fldChar w:fldCharType="end"/>
          </w:r>
        </w:p>
        <w:p w14:paraId="0CEEB645">
          <w:pPr>
            <w:pStyle w:val="5"/>
            <w:tabs>
              <w:tab w:val="right" w:leader="dot" w:pos="8306"/>
            </w:tabs>
          </w:pPr>
          <w:r>
            <w:rPr>
              <w:rFonts w:hint="eastAsia"/>
            </w:rPr>
            <w:fldChar w:fldCharType="begin"/>
          </w:r>
          <w:r>
            <w:rPr>
              <w:rFonts w:hint="eastAsia"/>
            </w:rPr>
            <w:instrText xml:space="preserve"> HYPERLINK \l _Toc26422 </w:instrText>
          </w:r>
          <w:r>
            <w:rPr>
              <w:rFonts w:hint="eastAsia"/>
            </w:rPr>
            <w:fldChar w:fldCharType="separate"/>
          </w:r>
          <w:r>
            <w:rPr>
              <w:rFonts w:hint="eastAsia" w:ascii="黑体" w:hAnsi="Times New Roman" w:eastAsia="黑体"/>
              <w:bCs w:val="0"/>
              <w:i w:val="0"/>
              <w:iCs w:val="0"/>
              <w:szCs w:val="21"/>
              <w:lang w:val="en-US" w:eastAsia="zh-CN"/>
            </w:rPr>
            <w:t xml:space="preserve">4 </w:t>
          </w:r>
          <w:r>
            <w:rPr>
              <w:rFonts w:hint="eastAsia"/>
              <w:lang w:val="en-US" w:eastAsia="zh-CN"/>
            </w:rPr>
            <w:t>产地范围</w:t>
          </w:r>
          <w:r>
            <w:tab/>
          </w:r>
          <w:r>
            <w:fldChar w:fldCharType="begin"/>
          </w:r>
          <w:r>
            <w:instrText xml:space="preserve"> PAGEREF _Toc26422 \h </w:instrText>
          </w:r>
          <w:r>
            <w:fldChar w:fldCharType="separate"/>
          </w:r>
          <w:r>
            <w:t>2</w:t>
          </w:r>
          <w:r>
            <w:fldChar w:fldCharType="end"/>
          </w:r>
          <w:r>
            <w:rPr>
              <w:rFonts w:hint="eastAsia"/>
            </w:rPr>
            <w:fldChar w:fldCharType="end"/>
          </w:r>
        </w:p>
        <w:p w14:paraId="66B1E083">
          <w:pPr>
            <w:pStyle w:val="5"/>
            <w:tabs>
              <w:tab w:val="right" w:leader="dot" w:pos="8306"/>
            </w:tabs>
          </w:pPr>
          <w:r>
            <w:rPr>
              <w:rFonts w:hint="eastAsia"/>
            </w:rPr>
            <w:fldChar w:fldCharType="begin"/>
          </w:r>
          <w:r>
            <w:rPr>
              <w:rFonts w:hint="eastAsia"/>
            </w:rPr>
            <w:instrText xml:space="preserve"> HYPERLINK \l _Toc18662 </w:instrText>
          </w:r>
          <w:r>
            <w:rPr>
              <w:rFonts w:hint="eastAsia"/>
            </w:rPr>
            <w:fldChar w:fldCharType="separate"/>
          </w:r>
          <w:r>
            <w:rPr>
              <w:rFonts w:hint="eastAsia" w:ascii="黑体" w:hAnsi="Times New Roman" w:eastAsia="黑体"/>
              <w:bCs w:val="0"/>
              <w:i w:val="0"/>
              <w:iCs w:val="0"/>
              <w:szCs w:val="21"/>
            </w:rPr>
            <w:t xml:space="preserve">5 </w:t>
          </w:r>
          <w:r>
            <w:rPr>
              <w:rFonts w:hint="eastAsia"/>
              <w:lang w:val="en-US" w:eastAsia="zh-CN"/>
            </w:rPr>
            <w:t>生境条件</w:t>
          </w:r>
          <w:r>
            <w:tab/>
          </w:r>
          <w:r>
            <w:fldChar w:fldCharType="begin"/>
          </w:r>
          <w:r>
            <w:instrText xml:space="preserve"> PAGEREF _Toc18662 \h </w:instrText>
          </w:r>
          <w:r>
            <w:fldChar w:fldCharType="separate"/>
          </w:r>
          <w:r>
            <w:t>2</w:t>
          </w:r>
          <w:r>
            <w:fldChar w:fldCharType="end"/>
          </w:r>
          <w:r>
            <w:rPr>
              <w:rFonts w:hint="eastAsia"/>
            </w:rPr>
            <w:fldChar w:fldCharType="end"/>
          </w:r>
        </w:p>
        <w:p w14:paraId="6C8A0E54">
          <w:pPr>
            <w:pStyle w:val="6"/>
            <w:tabs>
              <w:tab w:val="right" w:leader="dot" w:pos="8306"/>
            </w:tabs>
          </w:pPr>
          <w:r>
            <w:rPr>
              <w:rFonts w:hint="eastAsia"/>
            </w:rPr>
            <w:fldChar w:fldCharType="begin"/>
          </w:r>
          <w:r>
            <w:rPr>
              <w:rFonts w:hint="eastAsia"/>
            </w:rPr>
            <w:instrText xml:space="preserve"> HYPERLINK \l _Toc11984 </w:instrText>
          </w:r>
          <w:r>
            <w:rPr>
              <w:rFonts w:hint="eastAsia"/>
            </w:rPr>
            <w:fldChar w:fldCharType="separate"/>
          </w:r>
          <w:r>
            <w:rPr>
              <w:rFonts w:hint="eastAsia" w:ascii="黑体" w:hAnsi="Times New Roman" w:eastAsia="黑体"/>
              <w:bCs w:val="0"/>
              <w:i w:val="0"/>
              <w:iCs w:val="0"/>
              <w:szCs w:val="21"/>
            </w:rPr>
            <w:t xml:space="preserve">5.1 </w:t>
          </w:r>
          <w:r>
            <w:rPr>
              <w:rFonts w:hint="eastAsia"/>
              <w:lang w:val="en-US" w:eastAsia="zh-CN"/>
            </w:rPr>
            <w:t>地貌特征</w:t>
          </w:r>
          <w:r>
            <w:tab/>
          </w:r>
          <w:r>
            <w:fldChar w:fldCharType="begin"/>
          </w:r>
          <w:r>
            <w:instrText xml:space="preserve"> PAGEREF _Toc11984 \h </w:instrText>
          </w:r>
          <w:r>
            <w:fldChar w:fldCharType="separate"/>
          </w:r>
          <w:r>
            <w:t>2</w:t>
          </w:r>
          <w:r>
            <w:fldChar w:fldCharType="end"/>
          </w:r>
          <w:r>
            <w:rPr>
              <w:rFonts w:hint="eastAsia"/>
            </w:rPr>
            <w:fldChar w:fldCharType="end"/>
          </w:r>
        </w:p>
        <w:p w14:paraId="44198C77">
          <w:pPr>
            <w:pStyle w:val="6"/>
            <w:tabs>
              <w:tab w:val="right" w:leader="dot" w:pos="8306"/>
            </w:tabs>
          </w:pPr>
          <w:r>
            <w:rPr>
              <w:rFonts w:hint="eastAsia"/>
            </w:rPr>
            <w:fldChar w:fldCharType="begin"/>
          </w:r>
          <w:r>
            <w:rPr>
              <w:rFonts w:hint="eastAsia"/>
            </w:rPr>
            <w:instrText xml:space="preserve"> HYPERLINK \l _Toc28176 </w:instrText>
          </w:r>
          <w:r>
            <w:rPr>
              <w:rFonts w:hint="eastAsia"/>
            </w:rPr>
            <w:fldChar w:fldCharType="separate"/>
          </w:r>
          <w:r>
            <w:rPr>
              <w:rFonts w:hint="eastAsia" w:ascii="黑体" w:hAnsi="Times New Roman" w:eastAsia="黑体"/>
              <w:bCs w:val="0"/>
              <w:i w:val="0"/>
              <w:iCs w:val="0"/>
              <w:szCs w:val="21"/>
            </w:rPr>
            <w:t xml:space="preserve">5.2 </w:t>
          </w:r>
          <w:r>
            <w:rPr>
              <w:rFonts w:hint="eastAsia"/>
            </w:rPr>
            <w:t>日照</w:t>
          </w:r>
          <w:r>
            <w:tab/>
          </w:r>
          <w:r>
            <w:fldChar w:fldCharType="begin"/>
          </w:r>
          <w:r>
            <w:instrText xml:space="preserve"> PAGEREF _Toc28176 \h </w:instrText>
          </w:r>
          <w:r>
            <w:fldChar w:fldCharType="separate"/>
          </w:r>
          <w:r>
            <w:t>2</w:t>
          </w:r>
          <w:r>
            <w:fldChar w:fldCharType="end"/>
          </w:r>
          <w:r>
            <w:rPr>
              <w:rFonts w:hint="eastAsia"/>
            </w:rPr>
            <w:fldChar w:fldCharType="end"/>
          </w:r>
        </w:p>
        <w:p w14:paraId="7452B5B7">
          <w:pPr>
            <w:pStyle w:val="6"/>
            <w:tabs>
              <w:tab w:val="right" w:leader="dot" w:pos="8306"/>
            </w:tabs>
          </w:pPr>
          <w:r>
            <w:rPr>
              <w:rFonts w:hint="eastAsia"/>
            </w:rPr>
            <w:fldChar w:fldCharType="begin"/>
          </w:r>
          <w:r>
            <w:rPr>
              <w:rFonts w:hint="eastAsia"/>
            </w:rPr>
            <w:instrText xml:space="preserve"> HYPERLINK \l _Toc26506 </w:instrText>
          </w:r>
          <w:r>
            <w:rPr>
              <w:rFonts w:hint="eastAsia"/>
            </w:rPr>
            <w:fldChar w:fldCharType="separate"/>
          </w:r>
          <w:r>
            <w:rPr>
              <w:rFonts w:hint="eastAsia" w:ascii="黑体" w:hAnsi="Times New Roman" w:eastAsia="黑体"/>
              <w:bCs w:val="0"/>
              <w:i w:val="0"/>
              <w:iCs w:val="0"/>
              <w:szCs w:val="21"/>
            </w:rPr>
            <w:t xml:space="preserve">5.3 </w:t>
          </w:r>
          <w:r>
            <w:rPr>
              <w:rFonts w:hint="eastAsia"/>
            </w:rPr>
            <w:t>气温</w:t>
          </w:r>
          <w:r>
            <w:tab/>
          </w:r>
          <w:r>
            <w:fldChar w:fldCharType="begin"/>
          </w:r>
          <w:r>
            <w:instrText xml:space="preserve"> PAGEREF _Toc26506 \h </w:instrText>
          </w:r>
          <w:r>
            <w:fldChar w:fldCharType="separate"/>
          </w:r>
          <w:r>
            <w:t>2</w:t>
          </w:r>
          <w:r>
            <w:fldChar w:fldCharType="end"/>
          </w:r>
          <w:r>
            <w:rPr>
              <w:rFonts w:hint="eastAsia"/>
            </w:rPr>
            <w:fldChar w:fldCharType="end"/>
          </w:r>
        </w:p>
        <w:p w14:paraId="69482FB1">
          <w:pPr>
            <w:pStyle w:val="6"/>
            <w:tabs>
              <w:tab w:val="right" w:leader="dot" w:pos="8306"/>
            </w:tabs>
          </w:pPr>
          <w:r>
            <w:rPr>
              <w:rFonts w:hint="eastAsia"/>
            </w:rPr>
            <w:fldChar w:fldCharType="begin"/>
          </w:r>
          <w:r>
            <w:rPr>
              <w:rFonts w:hint="eastAsia"/>
            </w:rPr>
            <w:instrText xml:space="preserve"> HYPERLINK \l _Toc30431 </w:instrText>
          </w:r>
          <w:r>
            <w:rPr>
              <w:rFonts w:hint="eastAsia"/>
            </w:rPr>
            <w:fldChar w:fldCharType="separate"/>
          </w:r>
          <w:r>
            <w:rPr>
              <w:rFonts w:hint="eastAsia" w:ascii="黑体" w:hAnsi="Times New Roman" w:eastAsia="黑体"/>
              <w:bCs w:val="0"/>
              <w:i w:val="0"/>
              <w:iCs w:val="0"/>
              <w:szCs w:val="21"/>
            </w:rPr>
            <w:t xml:space="preserve">5.4 </w:t>
          </w:r>
          <w:r>
            <w:rPr>
              <w:rFonts w:hint="eastAsia"/>
            </w:rPr>
            <w:t>降水</w:t>
          </w:r>
          <w:r>
            <w:tab/>
          </w:r>
          <w:r>
            <w:fldChar w:fldCharType="begin"/>
          </w:r>
          <w:r>
            <w:instrText xml:space="preserve"> PAGEREF _Toc30431 \h </w:instrText>
          </w:r>
          <w:r>
            <w:fldChar w:fldCharType="separate"/>
          </w:r>
          <w:r>
            <w:t>3</w:t>
          </w:r>
          <w:r>
            <w:fldChar w:fldCharType="end"/>
          </w:r>
          <w:r>
            <w:rPr>
              <w:rFonts w:hint="eastAsia"/>
            </w:rPr>
            <w:fldChar w:fldCharType="end"/>
          </w:r>
        </w:p>
        <w:p w14:paraId="01B3E4C9">
          <w:pPr>
            <w:pStyle w:val="6"/>
            <w:tabs>
              <w:tab w:val="right" w:leader="dot" w:pos="8306"/>
            </w:tabs>
          </w:pPr>
          <w:r>
            <w:rPr>
              <w:rFonts w:hint="eastAsia"/>
            </w:rPr>
            <w:fldChar w:fldCharType="begin"/>
          </w:r>
          <w:r>
            <w:rPr>
              <w:rFonts w:hint="eastAsia"/>
            </w:rPr>
            <w:instrText xml:space="preserve"> HYPERLINK \l _Toc12613 </w:instrText>
          </w:r>
          <w:r>
            <w:rPr>
              <w:rFonts w:hint="eastAsia"/>
            </w:rPr>
            <w:fldChar w:fldCharType="separate"/>
          </w:r>
          <w:r>
            <w:rPr>
              <w:rFonts w:hint="eastAsia" w:ascii="黑体" w:hAnsi="Times New Roman" w:eastAsia="黑体"/>
              <w:bCs w:val="0"/>
              <w:i w:val="0"/>
              <w:iCs w:val="0"/>
              <w:szCs w:val="21"/>
            </w:rPr>
            <w:t xml:space="preserve">5.5 </w:t>
          </w:r>
          <w:r>
            <w:rPr>
              <w:rFonts w:hint="eastAsia"/>
            </w:rPr>
            <w:t>土壤</w:t>
          </w:r>
          <w:r>
            <w:tab/>
          </w:r>
          <w:r>
            <w:fldChar w:fldCharType="begin"/>
          </w:r>
          <w:r>
            <w:instrText xml:space="preserve"> PAGEREF _Toc12613 \h </w:instrText>
          </w:r>
          <w:r>
            <w:fldChar w:fldCharType="separate"/>
          </w:r>
          <w:r>
            <w:t>3</w:t>
          </w:r>
          <w:r>
            <w:fldChar w:fldCharType="end"/>
          </w:r>
          <w:r>
            <w:rPr>
              <w:rFonts w:hint="eastAsia"/>
            </w:rPr>
            <w:fldChar w:fldCharType="end"/>
          </w:r>
        </w:p>
        <w:p w14:paraId="6772E6E4">
          <w:pPr>
            <w:pStyle w:val="6"/>
            <w:tabs>
              <w:tab w:val="right" w:leader="dot" w:pos="8306"/>
            </w:tabs>
          </w:pPr>
          <w:r>
            <w:rPr>
              <w:rFonts w:hint="eastAsia"/>
            </w:rPr>
            <w:fldChar w:fldCharType="begin"/>
          </w:r>
          <w:r>
            <w:rPr>
              <w:rFonts w:hint="eastAsia"/>
            </w:rPr>
            <w:instrText xml:space="preserve"> HYPERLINK \l _Toc30160 </w:instrText>
          </w:r>
          <w:r>
            <w:rPr>
              <w:rFonts w:hint="eastAsia"/>
            </w:rPr>
            <w:fldChar w:fldCharType="separate"/>
          </w:r>
          <w:r>
            <w:rPr>
              <w:rFonts w:hint="eastAsia" w:ascii="黑体" w:hAnsi="Times New Roman" w:eastAsia="黑体"/>
              <w:bCs w:val="0"/>
              <w:i w:val="0"/>
              <w:iCs w:val="0"/>
              <w:szCs w:val="21"/>
            </w:rPr>
            <w:t xml:space="preserve">5.6 </w:t>
          </w:r>
          <w:r>
            <w:rPr>
              <w:rFonts w:hint="eastAsia"/>
            </w:rPr>
            <w:t>水源</w:t>
          </w:r>
          <w:r>
            <w:tab/>
          </w:r>
          <w:r>
            <w:fldChar w:fldCharType="begin"/>
          </w:r>
          <w:r>
            <w:instrText xml:space="preserve"> PAGEREF _Toc30160 \h </w:instrText>
          </w:r>
          <w:r>
            <w:fldChar w:fldCharType="separate"/>
          </w:r>
          <w:r>
            <w:t>3</w:t>
          </w:r>
          <w:r>
            <w:fldChar w:fldCharType="end"/>
          </w:r>
          <w:r>
            <w:rPr>
              <w:rFonts w:hint="eastAsia"/>
            </w:rPr>
            <w:fldChar w:fldCharType="end"/>
          </w:r>
        </w:p>
        <w:p w14:paraId="0EDDBE99">
          <w:pPr>
            <w:pStyle w:val="6"/>
            <w:tabs>
              <w:tab w:val="right" w:leader="dot" w:pos="8306"/>
            </w:tabs>
          </w:pPr>
          <w:r>
            <w:rPr>
              <w:rFonts w:hint="eastAsia"/>
            </w:rPr>
            <w:fldChar w:fldCharType="begin"/>
          </w:r>
          <w:r>
            <w:rPr>
              <w:rFonts w:hint="eastAsia"/>
            </w:rPr>
            <w:instrText xml:space="preserve"> HYPERLINK \l _Toc1577 </w:instrText>
          </w:r>
          <w:r>
            <w:rPr>
              <w:rFonts w:hint="eastAsia"/>
            </w:rPr>
            <w:fldChar w:fldCharType="separate"/>
          </w:r>
          <w:r>
            <w:rPr>
              <w:rFonts w:hint="eastAsia" w:ascii="黑体" w:hAnsi="Times New Roman" w:eastAsia="黑体"/>
              <w:bCs w:val="0"/>
              <w:i w:val="0"/>
              <w:iCs w:val="0"/>
              <w:szCs w:val="21"/>
            </w:rPr>
            <w:t xml:space="preserve">5.7 </w:t>
          </w:r>
          <w:r>
            <w:rPr>
              <w:rFonts w:hint="eastAsia"/>
            </w:rPr>
            <w:t>环境空气</w:t>
          </w:r>
          <w:r>
            <w:tab/>
          </w:r>
          <w:r>
            <w:fldChar w:fldCharType="begin"/>
          </w:r>
          <w:r>
            <w:instrText xml:space="preserve"> PAGEREF _Toc1577 \h </w:instrText>
          </w:r>
          <w:r>
            <w:fldChar w:fldCharType="separate"/>
          </w:r>
          <w:r>
            <w:t>3</w:t>
          </w:r>
          <w:r>
            <w:fldChar w:fldCharType="end"/>
          </w:r>
          <w:r>
            <w:rPr>
              <w:rFonts w:hint="eastAsia"/>
            </w:rPr>
            <w:fldChar w:fldCharType="end"/>
          </w:r>
        </w:p>
        <w:p w14:paraId="6EFB86CD">
          <w:pPr>
            <w:pStyle w:val="5"/>
            <w:tabs>
              <w:tab w:val="right" w:leader="dot" w:pos="8306"/>
            </w:tabs>
          </w:pPr>
          <w:r>
            <w:rPr>
              <w:rFonts w:hint="eastAsia"/>
            </w:rPr>
            <w:fldChar w:fldCharType="begin"/>
          </w:r>
          <w:r>
            <w:rPr>
              <w:rFonts w:hint="eastAsia"/>
            </w:rPr>
            <w:instrText xml:space="preserve"> HYPERLINK \l _Toc20383 </w:instrText>
          </w:r>
          <w:r>
            <w:rPr>
              <w:rFonts w:hint="eastAsia"/>
            </w:rPr>
            <w:fldChar w:fldCharType="separate"/>
          </w:r>
          <w:r>
            <w:rPr>
              <w:rFonts w:hint="eastAsia" w:ascii="黑体" w:hAnsi="Times New Roman" w:eastAsia="黑体"/>
              <w:bCs w:val="0"/>
              <w:i w:val="0"/>
              <w:iCs w:val="0"/>
              <w:szCs w:val="21"/>
            </w:rPr>
            <w:t xml:space="preserve">6 </w:t>
          </w:r>
          <w:r>
            <w:rPr>
              <w:rFonts w:hint="eastAsia"/>
            </w:rPr>
            <w:t>油橄榄生产</w:t>
          </w:r>
          <w:r>
            <w:tab/>
          </w:r>
          <w:r>
            <w:fldChar w:fldCharType="begin"/>
          </w:r>
          <w:r>
            <w:instrText xml:space="preserve"> PAGEREF _Toc20383 \h </w:instrText>
          </w:r>
          <w:r>
            <w:fldChar w:fldCharType="separate"/>
          </w:r>
          <w:r>
            <w:t>3</w:t>
          </w:r>
          <w:r>
            <w:fldChar w:fldCharType="end"/>
          </w:r>
          <w:r>
            <w:rPr>
              <w:rFonts w:hint="eastAsia"/>
            </w:rPr>
            <w:fldChar w:fldCharType="end"/>
          </w:r>
        </w:p>
        <w:p w14:paraId="30C87AB6">
          <w:pPr>
            <w:pStyle w:val="6"/>
            <w:tabs>
              <w:tab w:val="right" w:leader="dot" w:pos="8306"/>
            </w:tabs>
          </w:pPr>
          <w:r>
            <w:rPr>
              <w:rFonts w:hint="eastAsia"/>
            </w:rPr>
            <w:fldChar w:fldCharType="begin"/>
          </w:r>
          <w:r>
            <w:rPr>
              <w:rFonts w:hint="eastAsia"/>
            </w:rPr>
            <w:instrText xml:space="preserve"> HYPERLINK \l _Toc1642 </w:instrText>
          </w:r>
          <w:r>
            <w:rPr>
              <w:rFonts w:hint="eastAsia"/>
            </w:rPr>
            <w:fldChar w:fldCharType="separate"/>
          </w:r>
          <w:r>
            <w:rPr>
              <w:rFonts w:hint="eastAsia" w:ascii="黑体" w:hAnsi="Times New Roman" w:eastAsia="黑体"/>
              <w:bCs w:val="0"/>
              <w:i w:val="0"/>
              <w:iCs w:val="0"/>
              <w:szCs w:val="21"/>
            </w:rPr>
            <w:t xml:space="preserve">6.1 </w:t>
          </w:r>
          <w:r>
            <w:rPr>
              <w:rFonts w:hint="eastAsia"/>
            </w:rPr>
            <w:t>品种选择</w:t>
          </w:r>
          <w:r>
            <w:tab/>
          </w:r>
          <w:r>
            <w:fldChar w:fldCharType="begin"/>
          </w:r>
          <w:r>
            <w:instrText xml:space="preserve"> PAGEREF _Toc1642 \h </w:instrText>
          </w:r>
          <w:r>
            <w:fldChar w:fldCharType="separate"/>
          </w:r>
          <w:r>
            <w:t>3</w:t>
          </w:r>
          <w:r>
            <w:fldChar w:fldCharType="end"/>
          </w:r>
          <w:r>
            <w:rPr>
              <w:rFonts w:hint="eastAsia"/>
            </w:rPr>
            <w:fldChar w:fldCharType="end"/>
          </w:r>
        </w:p>
        <w:p w14:paraId="1E09928A">
          <w:pPr>
            <w:pStyle w:val="6"/>
            <w:tabs>
              <w:tab w:val="right" w:leader="dot" w:pos="8306"/>
            </w:tabs>
          </w:pPr>
          <w:r>
            <w:rPr>
              <w:rFonts w:hint="eastAsia"/>
            </w:rPr>
            <w:fldChar w:fldCharType="begin"/>
          </w:r>
          <w:r>
            <w:rPr>
              <w:rFonts w:hint="eastAsia"/>
            </w:rPr>
            <w:instrText xml:space="preserve"> HYPERLINK \l _Toc24689 </w:instrText>
          </w:r>
          <w:r>
            <w:rPr>
              <w:rFonts w:hint="eastAsia"/>
            </w:rPr>
            <w:fldChar w:fldCharType="separate"/>
          </w:r>
          <w:r>
            <w:rPr>
              <w:rFonts w:hint="eastAsia" w:ascii="黑体" w:hAnsi="Times New Roman" w:eastAsia="黑体"/>
              <w:bCs w:val="0"/>
              <w:i w:val="0"/>
              <w:iCs w:val="0"/>
              <w:szCs w:val="21"/>
            </w:rPr>
            <w:t xml:space="preserve">6.2 </w:t>
          </w:r>
          <w:r>
            <w:rPr>
              <w:rFonts w:hint="eastAsia"/>
            </w:rPr>
            <w:t>建园选址</w:t>
          </w:r>
          <w:r>
            <w:tab/>
          </w:r>
          <w:r>
            <w:fldChar w:fldCharType="begin"/>
          </w:r>
          <w:r>
            <w:instrText xml:space="preserve"> PAGEREF _Toc24689 \h </w:instrText>
          </w:r>
          <w:r>
            <w:fldChar w:fldCharType="separate"/>
          </w:r>
          <w:r>
            <w:t>4</w:t>
          </w:r>
          <w:r>
            <w:fldChar w:fldCharType="end"/>
          </w:r>
          <w:r>
            <w:rPr>
              <w:rFonts w:hint="eastAsia"/>
            </w:rPr>
            <w:fldChar w:fldCharType="end"/>
          </w:r>
        </w:p>
        <w:p w14:paraId="12125369">
          <w:pPr>
            <w:pStyle w:val="6"/>
            <w:tabs>
              <w:tab w:val="right" w:leader="dot" w:pos="8306"/>
            </w:tabs>
          </w:pPr>
          <w:r>
            <w:rPr>
              <w:rFonts w:hint="eastAsia"/>
            </w:rPr>
            <w:fldChar w:fldCharType="begin"/>
          </w:r>
          <w:r>
            <w:rPr>
              <w:rFonts w:hint="eastAsia"/>
            </w:rPr>
            <w:instrText xml:space="preserve"> HYPERLINK \l _Toc28499 </w:instrText>
          </w:r>
          <w:r>
            <w:rPr>
              <w:rFonts w:hint="eastAsia"/>
            </w:rPr>
            <w:fldChar w:fldCharType="separate"/>
          </w:r>
          <w:r>
            <w:rPr>
              <w:rFonts w:hint="eastAsia" w:ascii="黑体" w:hAnsi="Times New Roman" w:eastAsia="黑体"/>
              <w:bCs w:val="0"/>
              <w:i w:val="0"/>
              <w:iCs w:val="0"/>
              <w:szCs w:val="21"/>
            </w:rPr>
            <w:t xml:space="preserve">6.3 </w:t>
          </w:r>
          <w:r>
            <w:rPr>
              <w:rFonts w:hint="eastAsia"/>
            </w:rPr>
            <w:t>栽培标准</w:t>
          </w:r>
          <w:r>
            <w:tab/>
          </w:r>
          <w:r>
            <w:fldChar w:fldCharType="begin"/>
          </w:r>
          <w:r>
            <w:instrText xml:space="preserve"> PAGEREF _Toc28499 \h </w:instrText>
          </w:r>
          <w:r>
            <w:fldChar w:fldCharType="separate"/>
          </w:r>
          <w:r>
            <w:t>4</w:t>
          </w:r>
          <w:r>
            <w:fldChar w:fldCharType="end"/>
          </w:r>
          <w:r>
            <w:rPr>
              <w:rFonts w:hint="eastAsia"/>
            </w:rPr>
            <w:fldChar w:fldCharType="end"/>
          </w:r>
        </w:p>
        <w:p w14:paraId="411B934D">
          <w:pPr>
            <w:pStyle w:val="6"/>
            <w:tabs>
              <w:tab w:val="right" w:leader="dot" w:pos="8306"/>
            </w:tabs>
          </w:pPr>
          <w:r>
            <w:rPr>
              <w:rFonts w:hint="eastAsia"/>
            </w:rPr>
            <w:fldChar w:fldCharType="begin"/>
          </w:r>
          <w:r>
            <w:rPr>
              <w:rFonts w:hint="eastAsia"/>
            </w:rPr>
            <w:instrText xml:space="preserve"> HYPERLINK \l _Toc25401 </w:instrText>
          </w:r>
          <w:r>
            <w:rPr>
              <w:rFonts w:hint="eastAsia"/>
            </w:rPr>
            <w:fldChar w:fldCharType="separate"/>
          </w:r>
          <w:r>
            <w:rPr>
              <w:rFonts w:hint="eastAsia" w:ascii="黑体" w:hAnsi="Times New Roman" w:eastAsia="黑体"/>
              <w:bCs w:val="0"/>
              <w:i w:val="0"/>
              <w:iCs w:val="0"/>
              <w:szCs w:val="21"/>
            </w:rPr>
            <w:t xml:space="preserve">6.4 </w:t>
          </w:r>
          <w:r>
            <w:rPr>
              <w:rFonts w:hint="eastAsia"/>
            </w:rPr>
            <w:t>病虫草害防治</w:t>
          </w:r>
          <w:r>
            <w:tab/>
          </w:r>
          <w:r>
            <w:fldChar w:fldCharType="begin"/>
          </w:r>
          <w:r>
            <w:instrText xml:space="preserve"> PAGEREF _Toc25401 \h </w:instrText>
          </w:r>
          <w:r>
            <w:fldChar w:fldCharType="separate"/>
          </w:r>
          <w:r>
            <w:t>4</w:t>
          </w:r>
          <w:r>
            <w:fldChar w:fldCharType="end"/>
          </w:r>
          <w:r>
            <w:rPr>
              <w:rFonts w:hint="eastAsia"/>
            </w:rPr>
            <w:fldChar w:fldCharType="end"/>
          </w:r>
        </w:p>
        <w:p w14:paraId="4362FB1D">
          <w:pPr>
            <w:pStyle w:val="5"/>
            <w:tabs>
              <w:tab w:val="right" w:leader="dot" w:pos="8306"/>
            </w:tabs>
          </w:pPr>
          <w:r>
            <w:rPr>
              <w:rFonts w:hint="eastAsia"/>
            </w:rPr>
            <w:fldChar w:fldCharType="begin"/>
          </w:r>
          <w:r>
            <w:rPr>
              <w:rFonts w:hint="eastAsia"/>
            </w:rPr>
            <w:instrText xml:space="preserve"> HYPERLINK \l _Toc32662 </w:instrText>
          </w:r>
          <w:r>
            <w:rPr>
              <w:rFonts w:hint="eastAsia"/>
            </w:rPr>
            <w:fldChar w:fldCharType="separate"/>
          </w:r>
          <w:r>
            <w:rPr>
              <w:rFonts w:hint="eastAsia" w:ascii="黑体" w:hAnsi="Times New Roman" w:eastAsia="黑体"/>
              <w:bCs w:val="0"/>
              <w:i w:val="0"/>
              <w:iCs w:val="0"/>
              <w:szCs w:val="21"/>
            </w:rPr>
            <w:t xml:space="preserve">7 </w:t>
          </w:r>
          <w:r>
            <w:rPr>
              <w:rFonts w:hint="eastAsia"/>
            </w:rPr>
            <w:t>收获</w:t>
          </w:r>
          <w:r>
            <w:tab/>
          </w:r>
          <w:r>
            <w:fldChar w:fldCharType="begin"/>
          </w:r>
          <w:r>
            <w:instrText xml:space="preserve"> PAGEREF _Toc32662 \h </w:instrText>
          </w:r>
          <w:r>
            <w:fldChar w:fldCharType="separate"/>
          </w:r>
          <w:r>
            <w:t>5</w:t>
          </w:r>
          <w:r>
            <w:fldChar w:fldCharType="end"/>
          </w:r>
          <w:r>
            <w:rPr>
              <w:rFonts w:hint="eastAsia"/>
            </w:rPr>
            <w:fldChar w:fldCharType="end"/>
          </w:r>
        </w:p>
        <w:p w14:paraId="66AAB147">
          <w:pPr>
            <w:pStyle w:val="5"/>
            <w:tabs>
              <w:tab w:val="right" w:leader="dot" w:pos="8306"/>
            </w:tabs>
          </w:pPr>
          <w:r>
            <w:rPr>
              <w:rFonts w:hint="eastAsia"/>
            </w:rPr>
            <w:fldChar w:fldCharType="begin"/>
          </w:r>
          <w:r>
            <w:rPr>
              <w:rFonts w:hint="eastAsia"/>
            </w:rPr>
            <w:instrText xml:space="preserve"> HYPERLINK \l _Toc30016 </w:instrText>
          </w:r>
          <w:r>
            <w:rPr>
              <w:rFonts w:hint="eastAsia"/>
            </w:rPr>
            <w:fldChar w:fldCharType="separate"/>
          </w:r>
          <w:r>
            <w:rPr>
              <w:rFonts w:hint="eastAsia" w:ascii="黑体" w:hAnsi="Times New Roman" w:eastAsia="黑体"/>
              <w:bCs w:val="0"/>
              <w:i w:val="0"/>
              <w:iCs w:val="0"/>
              <w:szCs w:val="21"/>
            </w:rPr>
            <w:t xml:space="preserve">8 </w:t>
          </w:r>
          <w:r>
            <w:rPr>
              <w:rFonts w:hint="eastAsia"/>
            </w:rPr>
            <w:t>加工生产</w:t>
          </w:r>
          <w:r>
            <w:tab/>
          </w:r>
          <w:r>
            <w:fldChar w:fldCharType="begin"/>
          </w:r>
          <w:r>
            <w:instrText xml:space="preserve"> PAGEREF _Toc30016 \h </w:instrText>
          </w:r>
          <w:r>
            <w:fldChar w:fldCharType="separate"/>
          </w:r>
          <w:r>
            <w:t>6</w:t>
          </w:r>
          <w:r>
            <w:fldChar w:fldCharType="end"/>
          </w:r>
          <w:r>
            <w:rPr>
              <w:rFonts w:hint="eastAsia"/>
            </w:rPr>
            <w:fldChar w:fldCharType="end"/>
          </w:r>
        </w:p>
        <w:p w14:paraId="1D7831D4">
          <w:pPr>
            <w:pStyle w:val="6"/>
            <w:tabs>
              <w:tab w:val="right" w:leader="dot" w:pos="8306"/>
            </w:tabs>
          </w:pPr>
          <w:r>
            <w:rPr>
              <w:rFonts w:hint="eastAsia"/>
            </w:rPr>
            <w:fldChar w:fldCharType="begin"/>
          </w:r>
          <w:r>
            <w:rPr>
              <w:rFonts w:hint="eastAsia"/>
            </w:rPr>
            <w:instrText xml:space="preserve"> HYPERLINK \l _Toc23346 </w:instrText>
          </w:r>
          <w:r>
            <w:rPr>
              <w:rFonts w:hint="eastAsia"/>
            </w:rPr>
            <w:fldChar w:fldCharType="separate"/>
          </w:r>
          <w:r>
            <w:rPr>
              <w:rFonts w:hint="eastAsia" w:ascii="黑体" w:hAnsi="Times New Roman" w:eastAsia="黑体"/>
              <w:bCs w:val="0"/>
              <w:i w:val="0"/>
              <w:iCs w:val="0"/>
              <w:szCs w:val="21"/>
            </w:rPr>
            <w:t xml:space="preserve">8.1 </w:t>
          </w:r>
          <w:r>
            <w:rPr>
              <w:rFonts w:hint="eastAsia"/>
            </w:rPr>
            <w:t>厂房环境</w:t>
          </w:r>
          <w:r>
            <w:tab/>
          </w:r>
          <w:r>
            <w:fldChar w:fldCharType="begin"/>
          </w:r>
          <w:r>
            <w:instrText xml:space="preserve"> PAGEREF _Toc23346 \h </w:instrText>
          </w:r>
          <w:r>
            <w:fldChar w:fldCharType="separate"/>
          </w:r>
          <w:r>
            <w:t>6</w:t>
          </w:r>
          <w:r>
            <w:fldChar w:fldCharType="end"/>
          </w:r>
          <w:r>
            <w:rPr>
              <w:rFonts w:hint="eastAsia"/>
            </w:rPr>
            <w:fldChar w:fldCharType="end"/>
          </w:r>
        </w:p>
        <w:p w14:paraId="24B48980">
          <w:pPr>
            <w:pStyle w:val="6"/>
            <w:tabs>
              <w:tab w:val="right" w:leader="dot" w:pos="8306"/>
            </w:tabs>
          </w:pPr>
          <w:r>
            <w:rPr>
              <w:rFonts w:hint="eastAsia"/>
            </w:rPr>
            <w:fldChar w:fldCharType="begin"/>
          </w:r>
          <w:r>
            <w:rPr>
              <w:rFonts w:hint="eastAsia"/>
            </w:rPr>
            <w:instrText xml:space="preserve"> HYPERLINK \l _Toc7932 </w:instrText>
          </w:r>
          <w:r>
            <w:rPr>
              <w:rFonts w:hint="eastAsia"/>
            </w:rPr>
            <w:fldChar w:fldCharType="separate"/>
          </w:r>
          <w:r>
            <w:rPr>
              <w:rFonts w:hint="eastAsia" w:ascii="黑体" w:hAnsi="Times New Roman" w:eastAsia="黑体"/>
              <w:bCs w:val="0"/>
              <w:i w:val="0"/>
              <w:iCs w:val="0"/>
              <w:szCs w:val="21"/>
            </w:rPr>
            <w:t xml:space="preserve">8.2 </w:t>
          </w:r>
          <w:r>
            <w:rPr>
              <w:rFonts w:hint="eastAsia"/>
            </w:rPr>
            <w:t>机械设施</w:t>
          </w:r>
          <w:r>
            <w:tab/>
          </w:r>
          <w:r>
            <w:fldChar w:fldCharType="begin"/>
          </w:r>
          <w:r>
            <w:instrText xml:space="preserve"> PAGEREF _Toc7932 \h </w:instrText>
          </w:r>
          <w:r>
            <w:fldChar w:fldCharType="separate"/>
          </w:r>
          <w:r>
            <w:t>6</w:t>
          </w:r>
          <w:r>
            <w:fldChar w:fldCharType="end"/>
          </w:r>
          <w:r>
            <w:rPr>
              <w:rFonts w:hint="eastAsia"/>
            </w:rPr>
            <w:fldChar w:fldCharType="end"/>
          </w:r>
        </w:p>
        <w:p w14:paraId="683AE5B4">
          <w:pPr>
            <w:pStyle w:val="6"/>
            <w:tabs>
              <w:tab w:val="right" w:leader="dot" w:pos="8306"/>
            </w:tabs>
          </w:pPr>
          <w:r>
            <w:rPr>
              <w:rFonts w:hint="eastAsia"/>
            </w:rPr>
            <w:fldChar w:fldCharType="begin"/>
          </w:r>
          <w:r>
            <w:rPr>
              <w:rFonts w:hint="eastAsia"/>
            </w:rPr>
            <w:instrText xml:space="preserve"> HYPERLINK \l _Toc21357 </w:instrText>
          </w:r>
          <w:r>
            <w:rPr>
              <w:rFonts w:hint="eastAsia"/>
            </w:rPr>
            <w:fldChar w:fldCharType="separate"/>
          </w:r>
          <w:r>
            <w:rPr>
              <w:rFonts w:hint="eastAsia" w:ascii="黑体" w:hAnsi="Times New Roman" w:eastAsia="黑体"/>
              <w:bCs w:val="0"/>
              <w:i w:val="0"/>
              <w:iCs w:val="0"/>
              <w:szCs w:val="21"/>
            </w:rPr>
            <w:t xml:space="preserve">8.3 </w:t>
          </w:r>
          <w:r>
            <w:rPr>
              <w:rFonts w:hint="eastAsia"/>
            </w:rPr>
            <w:t>加工工艺流程</w:t>
          </w:r>
          <w:r>
            <w:tab/>
          </w:r>
          <w:r>
            <w:fldChar w:fldCharType="begin"/>
          </w:r>
          <w:r>
            <w:instrText xml:space="preserve"> PAGEREF _Toc21357 \h </w:instrText>
          </w:r>
          <w:r>
            <w:fldChar w:fldCharType="separate"/>
          </w:r>
          <w:r>
            <w:t>6</w:t>
          </w:r>
          <w:r>
            <w:fldChar w:fldCharType="end"/>
          </w:r>
          <w:r>
            <w:rPr>
              <w:rFonts w:hint="eastAsia"/>
            </w:rPr>
            <w:fldChar w:fldCharType="end"/>
          </w:r>
        </w:p>
        <w:p w14:paraId="1630E003">
          <w:pPr>
            <w:pStyle w:val="6"/>
            <w:tabs>
              <w:tab w:val="right" w:leader="dot" w:pos="8306"/>
            </w:tabs>
          </w:pPr>
          <w:r>
            <w:rPr>
              <w:rFonts w:hint="eastAsia"/>
            </w:rPr>
            <w:fldChar w:fldCharType="begin"/>
          </w:r>
          <w:r>
            <w:rPr>
              <w:rFonts w:hint="eastAsia"/>
            </w:rPr>
            <w:instrText xml:space="preserve"> HYPERLINK \l _Toc21661 </w:instrText>
          </w:r>
          <w:r>
            <w:rPr>
              <w:rFonts w:hint="eastAsia"/>
            </w:rPr>
            <w:fldChar w:fldCharType="separate"/>
          </w:r>
          <w:r>
            <w:rPr>
              <w:rFonts w:hint="eastAsia" w:ascii="黑体" w:hAnsi="Times New Roman" w:eastAsia="黑体"/>
              <w:bCs w:val="0"/>
              <w:i w:val="0"/>
              <w:iCs w:val="0"/>
              <w:szCs w:val="21"/>
            </w:rPr>
            <w:t xml:space="preserve">8.4 </w:t>
          </w:r>
          <w:r>
            <w:rPr>
              <w:rFonts w:hint="eastAsia"/>
            </w:rPr>
            <w:t>加工企业质量管理</w:t>
          </w:r>
          <w:r>
            <w:tab/>
          </w:r>
          <w:r>
            <w:fldChar w:fldCharType="begin"/>
          </w:r>
          <w:r>
            <w:instrText xml:space="preserve"> PAGEREF _Toc21661 \h </w:instrText>
          </w:r>
          <w:r>
            <w:fldChar w:fldCharType="separate"/>
          </w:r>
          <w:r>
            <w:t>8</w:t>
          </w:r>
          <w:r>
            <w:fldChar w:fldCharType="end"/>
          </w:r>
          <w:r>
            <w:rPr>
              <w:rFonts w:hint="eastAsia"/>
            </w:rPr>
            <w:fldChar w:fldCharType="end"/>
          </w:r>
        </w:p>
        <w:p w14:paraId="43C7B40E">
          <w:pPr>
            <w:pStyle w:val="6"/>
            <w:tabs>
              <w:tab w:val="right" w:leader="dot" w:pos="8306"/>
            </w:tabs>
          </w:pPr>
          <w:r>
            <w:rPr>
              <w:rFonts w:hint="eastAsia"/>
            </w:rPr>
            <w:fldChar w:fldCharType="begin"/>
          </w:r>
          <w:r>
            <w:rPr>
              <w:rFonts w:hint="eastAsia"/>
            </w:rPr>
            <w:instrText xml:space="preserve"> HYPERLINK \l _Toc23474 </w:instrText>
          </w:r>
          <w:r>
            <w:rPr>
              <w:rFonts w:hint="eastAsia"/>
            </w:rPr>
            <w:fldChar w:fldCharType="separate"/>
          </w:r>
          <w:r>
            <w:rPr>
              <w:rFonts w:hint="eastAsia" w:ascii="黑体" w:hAnsi="Times New Roman" w:eastAsia="黑体"/>
              <w:bCs w:val="0"/>
              <w:i w:val="0"/>
              <w:iCs w:val="0"/>
              <w:szCs w:val="21"/>
            </w:rPr>
            <w:t xml:space="preserve">8.5 </w:t>
          </w:r>
          <w:r>
            <w:rPr>
              <w:rFonts w:hint="eastAsia"/>
            </w:rPr>
            <w:t>运输和贮存</w:t>
          </w:r>
          <w:r>
            <w:tab/>
          </w:r>
          <w:r>
            <w:fldChar w:fldCharType="begin"/>
          </w:r>
          <w:r>
            <w:instrText xml:space="preserve"> PAGEREF _Toc23474 \h </w:instrText>
          </w:r>
          <w:r>
            <w:fldChar w:fldCharType="separate"/>
          </w:r>
          <w:r>
            <w:t>9</w:t>
          </w:r>
          <w:r>
            <w:fldChar w:fldCharType="end"/>
          </w:r>
          <w:r>
            <w:rPr>
              <w:rFonts w:hint="eastAsia"/>
            </w:rPr>
            <w:fldChar w:fldCharType="end"/>
          </w:r>
        </w:p>
        <w:p w14:paraId="3653BCDE">
          <w:pPr>
            <w:pStyle w:val="5"/>
            <w:tabs>
              <w:tab w:val="right" w:leader="dot" w:pos="8306"/>
            </w:tabs>
          </w:pPr>
          <w:r>
            <w:rPr>
              <w:rFonts w:hint="eastAsia"/>
            </w:rPr>
            <w:fldChar w:fldCharType="begin"/>
          </w:r>
          <w:r>
            <w:rPr>
              <w:rFonts w:hint="eastAsia"/>
            </w:rPr>
            <w:instrText xml:space="preserve"> HYPERLINK \l _Toc13301 </w:instrText>
          </w:r>
          <w:r>
            <w:rPr>
              <w:rFonts w:hint="eastAsia"/>
            </w:rPr>
            <w:fldChar w:fldCharType="separate"/>
          </w:r>
          <w:r>
            <w:rPr>
              <w:rFonts w:hint="eastAsia" w:ascii="黑体" w:hAnsi="Times New Roman" w:eastAsia="黑体"/>
              <w:bCs w:val="0"/>
              <w:i w:val="0"/>
              <w:iCs w:val="0"/>
              <w:szCs w:val="21"/>
            </w:rPr>
            <w:t xml:space="preserve">9 </w:t>
          </w:r>
          <w:r>
            <w:rPr>
              <w:rFonts w:hint="eastAsia"/>
            </w:rPr>
            <w:t>销售</w:t>
          </w:r>
          <w:r>
            <w:tab/>
          </w:r>
          <w:r>
            <w:fldChar w:fldCharType="begin"/>
          </w:r>
          <w:r>
            <w:instrText xml:space="preserve"> PAGEREF _Toc13301 \h </w:instrText>
          </w:r>
          <w:r>
            <w:fldChar w:fldCharType="separate"/>
          </w:r>
          <w:r>
            <w:t>9</w:t>
          </w:r>
          <w:r>
            <w:fldChar w:fldCharType="end"/>
          </w:r>
          <w:r>
            <w:rPr>
              <w:rFonts w:hint="eastAsia"/>
            </w:rPr>
            <w:fldChar w:fldCharType="end"/>
          </w:r>
        </w:p>
        <w:p w14:paraId="2DD5C222">
          <w:pPr>
            <w:pStyle w:val="6"/>
            <w:tabs>
              <w:tab w:val="right" w:leader="dot" w:pos="8306"/>
            </w:tabs>
          </w:pPr>
          <w:r>
            <w:rPr>
              <w:rFonts w:hint="eastAsia"/>
            </w:rPr>
            <w:fldChar w:fldCharType="begin"/>
          </w:r>
          <w:r>
            <w:rPr>
              <w:rFonts w:hint="eastAsia"/>
            </w:rPr>
            <w:instrText xml:space="preserve"> HYPERLINK \l _Toc31319 </w:instrText>
          </w:r>
          <w:r>
            <w:rPr>
              <w:rFonts w:hint="eastAsia"/>
            </w:rPr>
            <w:fldChar w:fldCharType="separate"/>
          </w:r>
          <w:r>
            <w:rPr>
              <w:rFonts w:hint="eastAsia" w:ascii="黑体" w:hAnsi="Times New Roman" w:eastAsia="黑体"/>
              <w:bCs w:val="0"/>
              <w:i w:val="0"/>
              <w:iCs w:val="0"/>
              <w:szCs w:val="21"/>
            </w:rPr>
            <w:t xml:space="preserve">9.1 </w:t>
          </w:r>
          <w:r>
            <w:t>授权资质管理‌</w:t>
          </w:r>
          <w:r>
            <w:tab/>
          </w:r>
          <w:r>
            <w:fldChar w:fldCharType="begin"/>
          </w:r>
          <w:r>
            <w:instrText xml:space="preserve"> PAGEREF _Toc31319 \h </w:instrText>
          </w:r>
          <w:r>
            <w:fldChar w:fldCharType="separate"/>
          </w:r>
          <w:r>
            <w:t>9</w:t>
          </w:r>
          <w:r>
            <w:fldChar w:fldCharType="end"/>
          </w:r>
          <w:r>
            <w:rPr>
              <w:rFonts w:hint="eastAsia"/>
            </w:rPr>
            <w:fldChar w:fldCharType="end"/>
          </w:r>
        </w:p>
        <w:p w14:paraId="649E3451">
          <w:pPr>
            <w:pStyle w:val="6"/>
            <w:tabs>
              <w:tab w:val="right" w:leader="dot" w:pos="8306"/>
            </w:tabs>
          </w:pPr>
          <w:r>
            <w:rPr>
              <w:rFonts w:hint="eastAsia"/>
            </w:rPr>
            <w:fldChar w:fldCharType="begin"/>
          </w:r>
          <w:r>
            <w:rPr>
              <w:rFonts w:hint="eastAsia"/>
            </w:rPr>
            <w:instrText xml:space="preserve"> HYPERLINK \l _Toc12964 </w:instrText>
          </w:r>
          <w:r>
            <w:rPr>
              <w:rFonts w:hint="eastAsia"/>
            </w:rPr>
            <w:fldChar w:fldCharType="separate"/>
          </w:r>
          <w:r>
            <w:rPr>
              <w:rFonts w:hint="eastAsia" w:ascii="黑体" w:hAnsi="Times New Roman" w:eastAsia="黑体"/>
              <w:bCs w:val="0"/>
              <w:i w:val="0"/>
              <w:iCs w:val="0"/>
              <w:szCs w:val="21"/>
            </w:rPr>
            <w:t xml:space="preserve">9.2 </w:t>
          </w:r>
          <w:r>
            <w:rPr>
              <w:rFonts w:hint="eastAsia"/>
            </w:rPr>
            <w:t>品牌授权</w:t>
          </w:r>
          <w:r>
            <w:tab/>
          </w:r>
          <w:r>
            <w:fldChar w:fldCharType="begin"/>
          </w:r>
          <w:r>
            <w:instrText xml:space="preserve"> PAGEREF _Toc12964 \h </w:instrText>
          </w:r>
          <w:r>
            <w:fldChar w:fldCharType="separate"/>
          </w:r>
          <w:r>
            <w:t>9</w:t>
          </w:r>
          <w:r>
            <w:fldChar w:fldCharType="end"/>
          </w:r>
          <w:r>
            <w:rPr>
              <w:rFonts w:hint="eastAsia"/>
            </w:rPr>
            <w:fldChar w:fldCharType="end"/>
          </w:r>
        </w:p>
        <w:p w14:paraId="3A730084">
          <w:pPr>
            <w:pStyle w:val="6"/>
            <w:tabs>
              <w:tab w:val="right" w:leader="dot" w:pos="8306"/>
            </w:tabs>
          </w:pPr>
          <w:r>
            <w:rPr>
              <w:rFonts w:hint="eastAsia"/>
            </w:rPr>
            <w:fldChar w:fldCharType="begin"/>
          </w:r>
          <w:r>
            <w:rPr>
              <w:rFonts w:hint="eastAsia"/>
            </w:rPr>
            <w:instrText xml:space="preserve"> HYPERLINK \l _Toc15507 </w:instrText>
          </w:r>
          <w:r>
            <w:rPr>
              <w:rFonts w:hint="eastAsia"/>
            </w:rPr>
            <w:fldChar w:fldCharType="separate"/>
          </w:r>
          <w:r>
            <w:rPr>
              <w:rFonts w:hint="eastAsia" w:ascii="黑体" w:hAnsi="Times New Roman" w:eastAsia="黑体"/>
              <w:bCs w:val="0"/>
              <w:i w:val="0"/>
              <w:iCs w:val="0"/>
              <w:szCs w:val="21"/>
            </w:rPr>
            <w:t xml:space="preserve">9.3 </w:t>
          </w:r>
          <w:r>
            <w:rPr>
              <w:rFonts w:hint="eastAsia"/>
            </w:rPr>
            <w:t>包装备案</w:t>
          </w:r>
          <w:r>
            <w:t>‌</w:t>
          </w:r>
          <w:r>
            <w:tab/>
          </w:r>
          <w:r>
            <w:fldChar w:fldCharType="begin"/>
          </w:r>
          <w:r>
            <w:instrText xml:space="preserve"> PAGEREF _Toc15507 \h </w:instrText>
          </w:r>
          <w:r>
            <w:fldChar w:fldCharType="separate"/>
          </w:r>
          <w:r>
            <w:t>9</w:t>
          </w:r>
          <w:r>
            <w:fldChar w:fldCharType="end"/>
          </w:r>
          <w:r>
            <w:rPr>
              <w:rFonts w:hint="eastAsia"/>
            </w:rPr>
            <w:fldChar w:fldCharType="end"/>
          </w:r>
        </w:p>
        <w:p w14:paraId="7C0C2A65">
          <w:pPr>
            <w:pStyle w:val="6"/>
            <w:tabs>
              <w:tab w:val="right" w:leader="dot" w:pos="8306"/>
            </w:tabs>
          </w:pPr>
          <w:r>
            <w:rPr>
              <w:rFonts w:hint="eastAsia"/>
            </w:rPr>
            <w:fldChar w:fldCharType="begin"/>
          </w:r>
          <w:r>
            <w:rPr>
              <w:rFonts w:hint="eastAsia"/>
            </w:rPr>
            <w:instrText xml:space="preserve"> HYPERLINK \l _Toc18100 </w:instrText>
          </w:r>
          <w:r>
            <w:rPr>
              <w:rFonts w:hint="eastAsia"/>
            </w:rPr>
            <w:fldChar w:fldCharType="separate"/>
          </w:r>
          <w:r>
            <w:rPr>
              <w:rFonts w:hint="eastAsia" w:ascii="黑体" w:hAnsi="Times New Roman" w:eastAsia="黑体"/>
              <w:bCs w:val="0"/>
              <w:i w:val="0"/>
              <w:iCs w:val="0"/>
              <w:szCs w:val="21"/>
            </w:rPr>
            <w:t xml:space="preserve">9.4 </w:t>
          </w:r>
          <w:r>
            <w:rPr>
              <w:rFonts w:hint="eastAsia"/>
            </w:rPr>
            <w:t>产品溯源</w:t>
          </w:r>
          <w:r>
            <w:tab/>
          </w:r>
          <w:r>
            <w:fldChar w:fldCharType="begin"/>
          </w:r>
          <w:r>
            <w:instrText xml:space="preserve"> PAGEREF _Toc18100 \h </w:instrText>
          </w:r>
          <w:r>
            <w:fldChar w:fldCharType="separate"/>
          </w:r>
          <w:r>
            <w:t>9</w:t>
          </w:r>
          <w:r>
            <w:fldChar w:fldCharType="end"/>
          </w:r>
          <w:r>
            <w:rPr>
              <w:rFonts w:hint="eastAsia"/>
            </w:rPr>
            <w:fldChar w:fldCharType="end"/>
          </w:r>
        </w:p>
        <w:p w14:paraId="2784A759">
          <w:pPr>
            <w:pStyle w:val="5"/>
            <w:tabs>
              <w:tab w:val="right" w:leader="dot" w:pos="8306"/>
            </w:tabs>
          </w:pPr>
          <w:r>
            <w:rPr>
              <w:rFonts w:hint="eastAsia"/>
            </w:rPr>
            <w:fldChar w:fldCharType="begin"/>
          </w:r>
          <w:r>
            <w:rPr>
              <w:rFonts w:hint="eastAsia"/>
            </w:rPr>
            <w:instrText xml:space="preserve"> HYPERLINK \l _Toc12081 </w:instrText>
          </w:r>
          <w:r>
            <w:rPr>
              <w:rFonts w:hint="eastAsia"/>
            </w:rPr>
            <w:fldChar w:fldCharType="separate"/>
          </w:r>
          <w:r>
            <w:rPr>
              <w:rFonts w:hint="eastAsia" w:ascii="黑体" w:hAnsi="Times New Roman" w:eastAsia="黑体"/>
              <w:bCs w:val="0"/>
              <w:i w:val="0"/>
              <w:iCs w:val="0"/>
              <w:szCs w:val="21"/>
            </w:rPr>
            <w:t xml:space="preserve">10 </w:t>
          </w:r>
          <w:r>
            <w:rPr>
              <w:rFonts w:hint="eastAsia"/>
            </w:rPr>
            <w:t>管理</w:t>
          </w:r>
          <w:r>
            <w:tab/>
          </w:r>
          <w:r>
            <w:fldChar w:fldCharType="begin"/>
          </w:r>
          <w:r>
            <w:instrText xml:space="preserve"> PAGEREF _Toc12081 \h </w:instrText>
          </w:r>
          <w:r>
            <w:fldChar w:fldCharType="separate"/>
          </w:r>
          <w:r>
            <w:t>9</w:t>
          </w:r>
          <w:r>
            <w:fldChar w:fldCharType="end"/>
          </w:r>
          <w:r>
            <w:rPr>
              <w:rFonts w:hint="eastAsia"/>
            </w:rPr>
            <w:fldChar w:fldCharType="end"/>
          </w:r>
        </w:p>
        <w:p w14:paraId="42F4AD56">
          <w:pPr>
            <w:pStyle w:val="6"/>
            <w:tabs>
              <w:tab w:val="right" w:leader="dot" w:pos="8306"/>
            </w:tabs>
          </w:pPr>
          <w:r>
            <w:rPr>
              <w:rFonts w:hint="eastAsia"/>
            </w:rPr>
            <w:fldChar w:fldCharType="begin"/>
          </w:r>
          <w:r>
            <w:rPr>
              <w:rFonts w:hint="eastAsia"/>
            </w:rPr>
            <w:instrText xml:space="preserve"> HYPERLINK \l _Toc9484 </w:instrText>
          </w:r>
          <w:r>
            <w:rPr>
              <w:rFonts w:hint="eastAsia"/>
            </w:rPr>
            <w:fldChar w:fldCharType="separate"/>
          </w:r>
          <w:r>
            <w:rPr>
              <w:rFonts w:hint="eastAsia" w:ascii="黑体" w:hAnsi="Times New Roman" w:eastAsia="黑体"/>
              <w:bCs w:val="0"/>
              <w:i w:val="0"/>
              <w:iCs w:val="0"/>
              <w:szCs w:val="21"/>
            </w:rPr>
            <w:t xml:space="preserve">10.1 </w:t>
          </w:r>
          <w:r>
            <w:rPr>
              <w:rFonts w:hint="eastAsia"/>
            </w:rPr>
            <w:t>管理体系</w:t>
          </w:r>
          <w:r>
            <w:tab/>
          </w:r>
          <w:r>
            <w:fldChar w:fldCharType="begin"/>
          </w:r>
          <w:r>
            <w:instrText xml:space="preserve"> PAGEREF _Toc9484 \h </w:instrText>
          </w:r>
          <w:r>
            <w:fldChar w:fldCharType="separate"/>
          </w:r>
          <w:r>
            <w:t>9</w:t>
          </w:r>
          <w:r>
            <w:fldChar w:fldCharType="end"/>
          </w:r>
          <w:r>
            <w:rPr>
              <w:rFonts w:hint="eastAsia"/>
            </w:rPr>
            <w:fldChar w:fldCharType="end"/>
          </w:r>
        </w:p>
        <w:p w14:paraId="7726F312">
          <w:pPr>
            <w:pStyle w:val="6"/>
            <w:tabs>
              <w:tab w:val="right" w:leader="dot" w:pos="8306"/>
            </w:tabs>
          </w:pPr>
          <w:r>
            <w:rPr>
              <w:rFonts w:hint="eastAsia"/>
            </w:rPr>
            <w:fldChar w:fldCharType="begin"/>
          </w:r>
          <w:r>
            <w:rPr>
              <w:rFonts w:hint="eastAsia"/>
            </w:rPr>
            <w:instrText xml:space="preserve"> HYPERLINK \l _Toc10685 </w:instrText>
          </w:r>
          <w:r>
            <w:rPr>
              <w:rFonts w:hint="eastAsia"/>
            </w:rPr>
            <w:fldChar w:fldCharType="separate"/>
          </w:r>
          <w:r>
            <w:rPr>
              <w:rFonts w:hint="eastAsia" w:ascii="黑体" w:hAnsi="Times New Roman" w:eastAsia="黑体"/>
              <w:bCs w:val="0"/>
              <w:i w:val="0"/>
              <w:iCs w:val="0"/>
              <w:szCs w:val="21"/>
            </w:rPr>
            <w:t xml:space="preserve">10.2 </w:t>
          </w:r>
          <w:r>
            <w:t>技术团队</w:t>
          </w:r>
          <w:r>
            <w:tab/>
          </w:r>
          <w:r>
            <w:fldChar w:fldCharType="begin"/>
          </w:r>
          <w:r>
            <w:instrText xml:space="preserve"> PAGEREF _Toc10685 \h </w:instrText>
          </w:r>
          <w:r>
            <w:fldChar w:fldCharType="separate"/>
          </w:r>
          <w:r>
            <w:t>10</w:t>
          </w:r>
          <w:r>
            <w:fldChar w:fldCharType="end"/>
          </w:r>
          <w:r>
            <w:rPr>
              <w:rFonts w:hint="eastAsia"/>
            </w:rPr>
            <w:fldChar w:fldCharType="end"/>
          </w:r>
        </w:p>
        <w:p w14:paraId="71C21C7E">
          <w:pPr>
            <w:pStyle w:val="6"/>
            <w:tabs>
              <w:tab w:val="right" w:leader="dot" w:pos="8306"/>
            </w:tabs>
          </w:pPr>
          <w:r>
            <w:rPr>
              <w:rFonts w:hint="eastAsia"/>
            </w:rPr>
            <w:fldChar w:fldCharType="begin"/>
          </w:r>
          <w:r>
            <w:rPr>
              <w:rFonts w:hint="eastAsia"/>
            </w:rPr>
            <w:instrText xml:space="preserve"> HYPERLINK \l _Toc19539 </w:instrText>
          </w:r>
          <w:r>
            <w:rPr>
              <w:rFonts w:hint="eastAsia"/>
            </w:rPr>
            <w:fldChar w:fldCharType="separate"/>
          </w:r>
          <w:r>
            <w:rPr>
              <w:rFonts w:hint="eastAsia" w:ascii="黑体" w:hAnsi="Times New Roman" w:eastAsia="黑体"/>
              <w:bCs w:val="0"/>
              <w:i w:val="0"/>
              <w:iCs w:val="0"/>
              <w:szCs w:val="21"/>
            </w:rPr>
            <w:t xml:space="preserve">10.3 </w:t>
          </w:r>
          <w:r>
            <w:rPr>
              <w:rFonts w:hint="eastAsia"/>
            </w:rPr>
            <w:t>种植备案</w:t>
          </w:r>
          <w:r>
            <w:tab/>
          </w:r>
          <w:r>
            <w:fldChar w:fldCharType="begin"/>
          </w:r>
          <w:r>
            <w:instrText xml:space="preserve"> PAGEREF _Toc19539 \h </w:instrText>
          </w:r>
          <w:r>
            <w:fldChar w:fldCharType="separate"/>
          </w:r>
          <w:r>
            <w:t>11</w:t>
          </w:r>
          <w:r>
            <w:fldChar w:fldCharType="end"/>
          </w:r>
          <w:r>
            <w:rPr>
              <w:rFonts w:hint="eastAsia"/>
            </w:rPr>
            <w:fldChar w:fldCharType="end"/>
          </w:r>
        </w:p>
        <w:p w14:paraId="752E2978">
          <w:pPr>
            <w:pStyle w:val="5"/>
            <w:tabs>
              <w:tab w:val="right" w:leader="dot" w:pos="8306"/>
            </w:tabs>
          </w:pPr>
          <w:r>
            <w:rPr>
              <w:rFonts w:hint="eastAsia"/>
            </w:rPr>
            <w:fldChar w:fldCharType="begin"/>
          </w:r>
          <w:r>
            <w:rPr>
              <w:rFonts w:hint="eastAsia"/>
            </w:rPr>
            <w:instrText xml:space="preserve"> HYPERLINK \l _Toc26690 </w:instrText>
          </w:r>
          <w:r>
            <w:rPr>
              <w:rFonts w:hint="eastAsia"/>
            </w:rPr>
            <w:fldChar w:fldCharType="separate"/>
          </w:r>
          <w:r>
            <w:rPr>
              <w:rFonts w:hint="eastAsia"/>
            </w:rPr>
            <w:t>附录 A</w:t>
          </w:r>
          <w:r>
            <w:tab/>
          </w:r>
          <w:r>
            <w:fldChar w:fldCharType="begin"/>
          </w:r>
          <w:r>
            <w:instrText xml:space="preserve"> PAGEREF _Toc26690 \h </w:instrText>
          </w:r>
          <w:r>
            <w:fldChar w:fldCharType="separate"/>
          </w:r>
          <w:r>
            <w:t>12</w:t>
          </w:r>
          <w:r>
            <w:fldChar w:fldCharType="end"/>
          </w:r>
          <w:r>
            <w:rPr>
              <w:rFonts w:hint="eastAsia"/>
            </w:rPr>
            <w:fldChar w:fldCharType="end"/>
          </w:r>
        </w:p>
        <w:p w14:paraId="6A551DE7">
          <w:pPr>
            <w:pStyle w:val="11"/>
            <w:spacing w:before="156" w:after="156"/>
            <w:rPr>
              <w:rFonts w:hint="eastAsia" w:eastAsia="黑体" w:asciiTheme="majorHAnsi" w:hAnsiTheme="majorHAnsi" w:cstheme="majorBidi"/>
              <w:b w:val="0"/>
              <w:bCs/>
              <w:kern w:val="2"/>
              <w:sz w:val="32"/>
              <w:szCs w:val="32"/>
              <w:lang w:val="en-US" w:eastAsia="zh-CN" w:bidi="ar-SA"/>
            </w:rPr>
          </w:pPr>
          <w:r>
            <w:rPr>
              <w:rFonts w:hint="eastAsia"/>
            </w:rPr>
            <w:fldChar w:fldCharType="end"/>
          </w:r>
        </w:p>
      </w:sdtContent>
    </w:sdt>
    <w:p w14:paraId="69A2BC2C">
      <w:pPr>
        <w:pStyle w:val="10"/>
        <w:rPr>
          <w:rFonts w:hint="eastAsia"/>
        </w:rPr>
        <w:sectPr>
          <w:headerReference r:id="rId5" w:type="default"/>
          <w:pgSz w:w="11906" w:h="16838"/>
          <w:pgMar w:top="1440" w:right="1800" w:bottom="1440" w:left="1800" w:header="851" w:footer="992" w:gutter="0"/>
          <w:cols w:space="425" w:num="1"/>
          <w:docGrid w:type="lines" w:linePitch="312" w:charSpace="0"/>
        </w:sectPr>
      </w:pPr>
    </w:p>
    <w:p w14:paraId="4D87C73F">
      <w:pPr>
        <w:pStyle w:val="2"/>
        <w:bidi w:val="0"/>
      </w:pPr>
      <w:bookmarkStart w:id="0" w:name="_Toc24459"/>
      <w:r>
        <w:rPr>
          <w:rFonts w:hint="eastAsia"/>
        </w:rPr>
        <w:t>前    言</w:t>
      </w:r>
      <w:bookmarkEnd w:id="0"/>
    </w:p>
    <w:p w14:paraId="6CF393B3">
      <w:pPr>
        <w:keepNext w:val="0"/>
        <w:keepLines w:val="0"/>
        <w:pageBreakBefore w:val="0"/>
        <w:widowControl w:val="0"/>
        <w:kinsoku/>
        <w:wordWrap/>
        <w:overflowPunct/>
        <w:topLinePunct w:val="0"/>
        <w:autoSpaceDE/>
        <w:autoSpaceDN/>
        <w:bidi w:val="0"/>
        <w:adjustRightInd w:val="0"/>
        <w:snapToGrid/>
        <w:ind w:firstLine="420" w:firstLineChars="200"/>
        <w:jc w:val="left"/>
        <w:textAlignment w:val="auto"/>
      </w:pPr>
      <w:r>
        <w:rPr>
          <w:rFonts w:hint="eastAsia"/>
        </w:rPr>
        <w:t>本标准依据GB/T 1.1-2020《标准化工作导则 第 1 部分：标准化文件的结构和起草规则》的规定起草。</w:t>
      </w:r>
    </w:p>
    <w:p w14:paraId="577635BC">
      <w:pPr>
        <w:keepNext w:val="0"/>
        <w:keepLines w:val="0"/>
        <w:pageBreakBefore w:val="0"/>
        <w:widowControl w:val="0"/>
        <w:kinsoku/>
        <w:wordWrap/>
        <w:overflowPunct/>
        <w:topLinePunct w:val="0"/>
        <w:autoSpaceDE/>
        <w:autoSpaceDN/>
        <w:bidi w:val="0"/>
        <w:adjustRightInd w:val="0"/>
        <w:snapToGrid/>
        <w:ind w:firstLine="420" w:firstLineChars="200"/>
        <w:jc w:val="left"/>
        <w:textAlignment w:val="auto"/>
      </w:pPr>
      <w:r>
        <w:rPr>
          <w:rFonts w:hint="eastAsia"/>
        </w:rPr>
        <w:t>本标准</w:t>
      </w:r>
      <w:r>
        <w:rPr>
          <w:rFonts w:hint="eastAsia"/>
          <w:lang w:val="en-US" w:eastAsia="zh-CN"/>
        </w:rPr>
        <w:t>为</w:t>
      </w:r>
      <w:r>
        <w:rPr>
          <w:rFonts w:hint="eastAsia"/>
        </w:rPr>
        <w:t>首次制定。</w:t>
      </w:r>
    </w:p>
    <w:p w14:paraId="6CF842F0">
      <w:pPr>
        <w:keepNext w:val="0"/>
        <w:keepLines w:val="0"/>
        <w:pageBreakBefore w:val="0"/>
        <w:widowControl w:val="0"/>
        <w:kinsoku/>
        <w:wordWrap/>
        <w:overflowPunct/>
        <w:topLinePunct w:val="0"/>
        <w:autoSpaceDE/>
        <w:autoSpaceDN/>
        <w:bidi w:val="0"/>
        <w:adjustRightInd w:val="0"/>
        <w:snapToGrid/>
        <w:ind w:firstLine="420" w:firstLineChars="200"/>
        <w:jc w:val="left"/>
        <w:textAlignment w:val="auto"/>
      </w:pPr>
      <w:r>
        <w:rPr>
          <w:rFonts w:hint="eastAsia"/>
        </w:rPr>
        <w:t>本标准由中国地理学会提出并归口。</w:t>
      </w:r>
    </w:p>
    <w:p w14:paraId="0B2CE2A2">
      <w:pPr>
        <w:bidi w:val="0"/>
        <w:rPr>
          <w:rFonts w:hint="eastAsia"/>
          <w:lang w:eastAsia="zh-CN"/>
        </w:rPr>
      </w:pPr>
      <w:r>
        <w:rPr>
          <w:rFonts w:hint="eastAsia"/>
        </w:rPr>
        <w:t>本标准起草单位：中国科学院地理科学与资源研究所，湖北省油橄榄产业技术研究院</w:t>
      </w:r>
      <w:r>
        <w:rPr>
          <w:rFonts w:hint="eastAsia"/>
          <w:lang w:eastAsia="zh-CN"/>
        </w:rPr>
        <w:t>，</w:t>
      </w:r>
      <w:r>
        <w:rPr>
          <w:rFonts w:hint="eastAsia"/>
        </w:rPr>
        <w:t>郧阳区油橄榄产业链办公室</w:t>
      </w:r>
      <w:r>
        <w:rPr>
          <w:rFonts w:hint="eastAsia"/>
          <w:lang w:eastAsia="zh-CN"/>
        </w:rPr>
        <w:t>，湖北鑫榄源油橄榄科技有限公司。</w:t>
      </w:r>
    </w:p>
    <w:p w14:paraId="38C00669">
      <w:pPr>
        <w:keepNext w:val="0"/>
        <w:keepLines w:val="0"/>
        <w:pageBreakBefore w:val="0"/>
        <w:widowControl w:val="0"/>
        <w:kinsoku/>
        <w:wordWrap/>
        <w:overflowPunct/>
        <w:topLinePunct w:val="0"/>
        <w:autoSpaceDE/>
        <w:autoSpaceDN/>
        <w:bidi w:val="0"/>
        <w:adjustRightInd w:val="0"/>
        <w:snapToGrid/>
        <w:ind w:firstLine="420" w:firstLineChars="200"/>
        <w:jc w:val="left"/>
        <w:textAlignment w:val="auto"/>
        <w:rPr>
          <w:rFonts w:hint="eastAsia" w:eastAsia="宋体"/>
          <w:lang w:eastAsia="zh-CN"/>
        </w:rPr>
      </w:pPr>
      <w:r>
        <w:rPr>
          <w:rFonts w:hint="eastAsia"/>
        </w:rPr>
        <w:t>本标准起草人：宋献方、胡实、杨丽虎、蒋超</w:t>
      </w:r>
      <w:r>
        <w:rPr>
          <w:rFonts w:hint="eastAsia"/>
          <w:lang w:eastAsia="zh-CN"/>
        </w:rPr>
        <w:t>、赵翼铭、胡士强、余祥伟、刘小林、朱瑾艳、谢渊博。</w:t>
      </w:r>
    </w:p>
    <w:p w14:paraId="56A717C5">
      <w:pPr>
        <w:widowControl/>
        <w:adjustRightInd/>
        <w:spacing w:line="240" w:lineRule="auto"/>
        <w:jc w:val="left"/>
      </w:pPr>
      <w:r>
        <w:br w:type="page"/>
      </w:r>
    </w:p>
    <w:p w14:paraId="224059AF">
      <w:pPr>
        <w:pStyle w:val="2"/>
        <w:bidi w:val="0"/>
      </w:pPr>
      <w:bookmarkStart w:id="1" w:name="_Toc11073"/>
      <w:bookmarkStart w:id="2" w:name="_Toc201501784"/>
      <w:r>
        <w:rPr>
          <w:rFonts w:hint="eastAsia"/>
        </w:rPr>
        <w:t xml:space="preserve">引 </w:t>
      </w:r>
      <w:r>
        <w:t xml:space="preserve">   </w:t>
      </w:r>
      <w:r>
        <w:rPr>
          <w:rFonts w:hint="eastAsia"/>
        </w:rPr>
        <w:t>言</w:t>
      </w:r>
      <w:bookmarkEnd w:id="1"/>
      <w:bookmarkEnd w:id="2"/>
    </w:p>
    <w:p w14:paraId="7DC19501">
      <w:pPr>
        <w:pStyle w:val="10"/>
      </w:pPr>
      <w:r>
        <w:rPr>
          <w:rFonts w:hint="eastAsia"/>
        </w:rPr>
        <w:t>郧阳油橄榄产区位于湖北省十堰市郧阳区汉江河谷低山丘陵地带，属于北亚热带大陆性季风气候区。产区光热资源较为充足，土壤以钙质砂砾黄棕壤为主，灌溉水水质良好，形成了具有地域特色的油橄榄栽培生境。郧阳油橄榄主栽品种具有较高的油酸含量和较好的产品质量安全基础。制定本文件旨在明确郧阳油橄榄北亚热带低山丘陵案例的产地范围、生境条件、生产管理、采收加工和产品质量要求，为案例生境保护、产品品质稳定及质量评价提供标准化依据。</w:t>
      </w:r>
    </w:p>
    <w:p w14:paraId="610C6388">
      <w:pPr>
        <w:pStyle w:val="11"/>
        <w:spacing w:before="156" w:after="156"/>
        <w:rPr>
          <w:rFonts w:hint="eastAsia"/>
        </w:rPr>
        <w:sectPr>
          <w:footerReference r:id="rId6" w:type="default"/>
          <w:pgSz w:w="11906" w:h="16838"/>
          <w:pgMar w:top="1440" w:right="1800" w:bottom="1440" w:left="1800" w:header="851" w:footer="992" w:gutter="0"/>
          <w:pgNumType w:fmt="upperRoman" w:start="1"/>
          <w:cols w:space="425" w:num="1"/>
          <w:docGrid w:type="lines" w:linePitch="312" w:charSpace="0"/>
        </w:sectPr>
      </w:pPr>
      <w:bookmarkStart w:id="3" w:name="_Toc201501785"/>
    </w:p>
    <w:bookmarkEnd w:id="3"/>
    <w:p w14:paraId="56D284D9">
      <w:pPr>
        <w:pStyle w:val="2"/>
        <w:bidi w:val="0"/>
        <w:rPr>
          <w:rFonts w:hint="eastAsia"/>
        </w:rPr>
      </w:pPr>
      <w:bookmarkStart w:id="4" w:name="_Toc4836"/>
      <w:r>
        <w:rPr>
          <w:rFonts w:hint="eastAsia"/>
        </w:rPr>
        <w:t>地标生境</w:t>
      </w:r>
      <w:r>
        <w:rPr>
          <w:rFonts w:hint="eastAsia"/>
          <w:lang w:val="en-US" w:eastAsia="zh-CN"/>
        </w:rPr>
        <w:t xml:space="preserve"> </w:t>
      </w:r>
      <w:r>
        <w:rPr>
          <w:rFonts w:hint="eastAsia"/>
        </w:rPr>
        <w:t>郧阳油橄榄</w:t>
      </w:r>
      <w:r>
        <w:rPr>
          <w:rFonts w:hint="eastAsia"/>
          <w:lang w:val="en-US" w:eastAsia="zh-CN"/>
        </w:rPr>
        <w:t>北亚热带低山丘陵案例</w:t>
      </w:r>
      <w:bookmarkEnd w:id="4"/>
    </w:p>
    <w:p w14:paraId="7313DA71">
      <w:pPr>
        <w:pStyle w:val="15"/>
      </w:pPr>
      <w:bookmarkStart w:id="5" w:name="_Toc6361"/>
      <w:bookmarkStart w:id="6" w:name="_Toc201501786"/>
      <w:r>
        <w:rPr>
          <w:rFonts w:hint="eastAsia"/>
        </w:rPr>
        <w:t>范围</w:t>
      </w:r>
      <w:bookmarkEnd w:id="5"/>
      <w:bookmarkEnd w:id="6"/>
    </w:p>
    <w:p w14:paraId="5BB02081">
      <w:pPr>
        <w:pStyle w:val="10"/>
      </w:pPr>
      <w:r>
        <w:rPr>
          <w:rFonts w:hint="eastAsia"/>
        </w:rPr>
        <w:t>本标准规定了郧阳油橄榄北亚热带低山丘陵案例的产地范围、生境条件、油橄榄生产、采收与鲜果处理、橄榄油加工与质量要求、检验方法、检验规则以及标志、标签、包装、运输和贮存。</w:t>
      </w:r>
    </w:p>
    <w:p w14:paraId="0EDBCDA8">
      <w:pPr>
        <w:pStyle w:val="10"/>
      </w:pPr>
      <w:r>
        <w:rPr>
          <w:rFonts w:hint="eastAsia"/>
        </w:rPr>
        <w:t>本标准适用于郧阳油橄榄北亚热带低山丘陵生境的保护和管理，以及保护范围内油橄榄的生产、采收、加工和质量评价。</w:t>
      </w:r>
    </w:p>
    <w:p w14:paraId="216D62E0">
      <w:pPr>
        <w:pStyle w:val="15"/>
      </w:pPr>
      <w:bookmarkStart w:id="7" w:name="_Toc201501787"/>
      <w:bookmarkStart w:id="8" w:name="_Toc14541"/>
      <w:r>
        <w:rPr>
          <w:rFonts w:hint="eastAsia"/>
        </w:rPr>
        <w:t>规范性引用文件</w:t>
      </w:r>
      <w:bookmarkEnd w:id="7"/>
      <w:bookmarkEnd w:id="8"/>
    </w:p>
    <w:p w14:paraId="7C76F1BB">
      <w:pPr>
        <w:pStyle w:val="10"/>
      </w:pPr>
      <w:r>
        <w:rPr>
          <w:rFonts w:hint="eastAsia"/>
        </w:rPr>
        <w:t>下列文件对于本文件的应用是必不可少的。凡是注日期的引用文件，仅注日期的版本适用于本文件。凡是不注日期引用文件，其最新版本（包括所有的修改单）适用于本文件。</w:t>
      </w:r>
    </w:p>
    <w:p w14:paraId="67EC5198">
      <w:pPr>
        <w:pStyle w:val="10"/>
      </w:pPr>
      <w:r>
        <w:rPr>
          <w:rFonts w:hint="eastAsia"/>
        </w:rPr>
        <w:t xml:space="preserve">以下是文本中明确提及的所有标准名称及标号列表：  </w:t>
      </w:r>
    </w:p>
    <w:p w14:paraId="70031D44">
      <w:pPr>
        <w:pStyle w:val="10"/>
      </w:pPr>
      <w:r>
        <w:rPr>
          <w:rFonts w:hint="eastAsia"/>
        </w:rPr>
        <w:t xml:space="preserve">GB/T 20397《油橄榄栽培技术规程》  </w:t>
      </w:r>
    </w:p>
    <w:p w14:paraId="4286ACDE">
      <w:pPr>
        <w:pStyle w:val="10"/>
      </w:pPr>
      <w:r>
        <w:rPr>
          <w:rFonts w:hint="eastAsia"/>
        </w:rPr>
        <w:t xml:space="preserve">GB/T 23347《橄榄油、油橄榄果渣油》  </w:t>
      </w:r>
    </w:p>
    <w:p w14:paraId="43A2A188">
      <w:pPr>
        <w:pStyle w:val="10"/>
      </w:pPr>
      <w:r>
        <w:rPr>
          <w:rFonts w:hint="eastAsia"/>
        </w:rPr>
        <w:t xml:space="preserve">GB 3095《环境空气质量标准》  </w:t>
      </w:r>
    </w:p>
    <w:p w14:paraId="511BB2ED">
      <w:pPr>
        <w:pStyle w:val="10"/>
      </w:pPr>
      <w:r>
        <w:rPr>
          <w:rFonts w:hint="eastAsia"/>
        </w:rPr>
        <w:t xml:space="preserve">GB 4806.5《食品安全国家标准 食品接触用玻璃制品》  </w:t>
      </w:r>
    </w:p>
    <w:p w14:paraId="2EAC03BE">
      <w:pPr>
        <w:pStyle w:val="10"/>
      </w:pPr>
      <w:r>
        <w:rPr>
          <w:rFonts w:hint="eastAsia"/>
        </w:rPr>
        <w:t xml:space="preserve">GB 4806.7《食品安全国家标准 食品接触用塑料材料及制品》  </w:t>
      </w:r>
    </w:p>
    <w:p w14:paraId="18185B1B">
      <w:pPr>
        <w:pStyle w:val="10"/>
      </w:pPr>
      <w:r>
        <w:rPr>
          <w:rFonts w:hint="eastAsia"/>
        </w:rPr>
        <w:t xml:space="preserve">GB 4806.10《食品安全国家标准 食品接触用金属材料及制品》  </w:t>
      </w:r>
    </w:p>
    <w:p w14:paraId="796BCE6E">
      <w:pPr>
        <w:pStyle w:val="10"/>
      </w:pPr>
      <w:r>
        <w:rPr>
          <w:rFonts w:hint="eastAsia"/>
        </w:rPr>
        <w:t xml:space="preserve">GB 5491《粮食、油料检验 扦样、分样法》  </w:t>
      </w:r>
    </w:p>
    <w:p w14:paraId="37DB57EF">
      <w:pPr>
        <w:pStyle w:val="10"/>
      </w:pPr>
      <w:r>
        <w:rPr>
          <w:rFonts w:hint="eastAsia"/>
        </w:rPr>
        <w:t xml:space="preserve">GB 7718《食品安全国家标准 预包装食品标签通则》  </w:t>
      </w:r>
    </w:p>
    <w:p w14:paraId="74C93CF8">
      <w:pPr>
        <w:pStyle w:val="10"/>
      </w:pPr>
      <w:r>
        <w:rPr>
          <w:rFonts w:hint="eastAsia"/>
        </w:rPr>
        <w:t xml:space="preserve">GB 14881《食品安全国家标准 食品生产通用卫生规范》  </w:t>
      </w:r>
    </w:p>
    <w:p w14:paraId="6734EB6E">
      <w:pPr>
        <w:pStyle w:val="10"/>
      </w:pPr>
      <w:r>
        <w:rPr>
          <w:rFonts w:hint="eastAsia"/>
        </w:rPr>
        <w:t xml:space="preserve">GB 15196《食品安全国家标准 食用油脂制品》  </w:t>
      </w:r>
    </w:p>
    <w:p w14:paraId="7438C62E">
      <w:pPr>
        <w:pStyle w:val="10"/>
      </w:pPr>
      <w:r>
        <w:rPr>
          <w:rFonts w:hint="eastAsia"/>
        </w:rPr>
        <w:t xml:space="preserve">GB 16798《食品安全国家标准 食品机械安全卫生》  </w:t>
      </w:r>
    </w:p>
    <w:p w14:paraId="4117D024">
      <w:pPr>
        <w:pStyle w:val="10"/>
      </w:pPr>
      <w:r>
        <w:rPr>
          <w:rFonts w:hint="eastAsia"/>
        </w:rPr>
        <w:t xml:space="preserve">GB 18599《一般工业固体废物贮存和填埋污染控制标准》  </w:t>
      </w:r>
    </w:p>
    <w:p w14:paraId="4998D19D">
      <w:pPr>
        <w:pStyle w:val="10"/>
      </w:pPr>
      <w:r>
        <w:rPr>
          <w:rFonts w:hint="eastAsia"/>
        </w:rPr>
        <w:t xml:space="preserve">GB 25571《食品安全国家标准 食品添加剂 活性白土》  </w:t>
      </w:r>
    </w:p>
    <w:p w14:paraId="0DDAFD2F">
      <w:pPr>
        <w:pStyle w:val="10"/>
        <w:rPr>
          <w:rFonts w:hint="eastAsia"/>
        </w:rPr>
      </w:pPr>
      <w:r>
        <w:rPr>
          <w:rFonts w:hint="eastAsia"/>
        </w:rPr>
        <w:t>GB 2716《食品安全国家标准 植物油》</w:t>
      </w:r>
    </w:p>
    <w:p w14:paraId="06AE5A64">
      <w:pPr>
        <w:pStyle w:val="10"/>
      </w:pPr>
      <w:r>
        <w:t xml:space="preserve">GB2762 </w:t>
      </w:r>
      <w:r>
        <w:rPr>
          <w:rFonts w:hint="eastAsia"/>
        </w:rPr>
        <w:t>食品安全国家标准</w:t>
      </w:r>
      <w:r>
        <w:t xml:space="preserve"> </w:t>
      </w:r>
      <w:r>
        <w:rPr>
          <w:rFonts w:hint="eastAsia"/>
        </w:rPr>
        <w:t>食品中污染物限量</w:t>
      </w:r>
    </w:p>
    <w:p w14:paraId="69CE6672">
      <w:pPr>
        <w:pStyle w:val="10"/>
      </w:pPr>
      <w:r>
        <w:rPr>
          <w:rFonts w:hint="eastAsia"/>
        </w:rPr>
        <w:t xml:space="preserve">NY/T 391《绿色食品 产地环境质量》  </w:t>
      </w:r>
    </w:p>
    <w:p w14:paraId="2E3D257E">
      <w:pPr>
        <w:pStyle w:val="10"/>
      </w:pPr>
      <w:r>
        <w:rPr>
          <w:rFonts w:hint="eastAsia"/>
        </w:rPr>
        <w:t xml:space="preserve">NY/T 393《绿色食品 农药使用准则》  </w:t>
      </w:r>
    </w:p>
    <w:p w14:paraId="7AD412D5">
      <w:pPr>
        <w:pStyle w:val="10"/>
      </w:pPr>
      <w:r>
        <w:rPr>
          <w:rFonts w:hint="eastAsia"/>
        </w:rPr>
        <w:t xml:space="preserve">NY/T 394《绿色食品 肥料使用准则》  </w:t>
      </w:r>
    </w:p>
    <w:p w14:paraId="34E38132">
      <w:pPr>
        <w:pStyle w:val="10"/>
      </w:pPr>
      <w:r>
        <w:rPr>
          <w:rFonts w:hint="eastAsia"/>
        </w:rPr>
        <w:t xml:space="preserve">NY 525《有机肥料》  </w:t>
      </w:r>
    </w:p>
    <w:p w14:paraId="16E032E8">
      <w:pPr>
        <w:pStyle w:val="10"/>
      </w:pPr>
      <w:r>
        <w:rPr>
          <w:rFonts w:hint="eastAsia"/>
        </w:rPr>
        <w:t xml:space="preserve">LY/T 1844《油橄榄苗木》  </w:t>
      </w:r>
    </w:p>
    <w:p w14:paraId="4595524D">
      <w:pPr>
        <w:pStyle w:val="10"/>
      </w:pPr>
      <w:r>
        <w:rPr>
          <w:rFonts w:hint="eastAsia"/>
        </w:rPr>
        <w:t xml:space="preserve">LY/T 2892《油橄榄病虫害测报技术规范》  </w:t>
      </w:r>
    </w:p>
    <w:p w14:paraId="544D0EAF">
      <w:pPr>
        <w:pStyle w:val="15"/>
      </w:pPr>
      <w:bookmarkStart w:id="9" w:name="_Toc18987"/>
      <w:bookmarkStart w:id="10" w:name="_Toc201501788"/>
      <w:r>
        <w:rPr>
          <w:rFonts w:hint="eastAsia"/>
        </w:rPr>
        <w:t>术语和定义</w:t>
      </w:r>
      <w:bookmarkEnd w:id="9"/>
      <w:bookmarkEnd w:id="10"/>
    </w:p>
    <w:p w14:paraId="2B39291D">
      <w:pPr>
        <w:pStyle w:val="10"/>
        <w:rPr>
          <w:rFonts w:hint="eastAsia"/>
        </w:rPr>
      </w:pPr>
      <w:r>
        <w:t xml:space="preserve">GB/T </w:t>
      </w:r>
      <w:r>
        <w:rPr>
          <w:rFonts w:hint="eastAsia"/>
          <w:lang w:val="en-US" w:eastAsia="zh-CN"/>
        </w:rPr>
        <w:t>23347</w:t>
      </w:r>
      <w:r>
        <w:rPr>
          <w:rFonts w:hint="eastAsia"/>
        </w:rPr>
        <w:t>界定的以及下列术语和定义适用于本文件。为了便于使用，以下重复列出了</w:t>
      </w:r>
      <w:r>
        <w:t>GB/T DDDD</w:t>
      </w:r>
      <w:r>
        <w:rPr>
          <w:rFonts w:hint="eastAsia"/>
        </w:rPr>
        <w:t>—</w:t>
      </w:r>
      <w:r>
        <w:t>2021</w:t>
      </w:r>
      <w:r>
        <w:rPr>
          <w:rFonts w:hint="eastAsia"/>
        </w:rPr>
        <w:t>中的某些术语和定义。</w:t>
      </w:r>
    </w:p>
    <w:p w14:paraId="2232B2FE">
      <w:pPr>
        <w:pStyle w:val="24"/>
        <w:rPr>
          <w:rFonts w:hint="default"/>
          <w:lang w:val="en-US" w:eastAsia="zh-CN"/>
        </w:rPr>
      </w:pPr>
      <w:bookmarkStart w:id="11" w:name="_Toc28243"/>
      <w:bookmarkEnd w:id="11"/>
    </w:p>
    <w:p w14:paraId="54C64D8F">
      <w:pPr>
        <w:pStyle w:val="24"/>
        <w:keepNext w:val="0"/>
        <w:keepLines w:val="0"/>
        <w:pageBreakBefore w:val="0"/>
        <w:widowControl/>
        <w:numPr>
          <w:ilvl w:val="2"/>
          <w:numId w:val="0"/>
        </w:numPr>
        <w:kinsoku/>
        <w:wordWrap/>
        <w:overflowPunct/>
        <w:topLinePunct w:val="0"/>
        <w:autoSpaceDE/>
        <w:autoSpaceDN/>
        <w:bidi w:val="0"/>
        <w:adjustRightInd/>
        <w:snapToGrid/>
        <w:ind w:firstLine="420" w:firstLineChars="200"/>
        <w:textAlignment w:val="auto"/>
        <w:rPr>
          <w:rFonts w:hint="default" w:ascii="Times New Roman" w:hAnsi="Times New Roman" w:eastAsia="宋体" w:cs="Times New Roman"/>
          <w:kern w:val="2"/>
          <w:sz w:val="21"/>
          <w:szCs w:val="21"/>
          <w:lang w:val="en-US" w:eastAsia="zh-CN" w:bidi="ar-SA"/>
        </w:rPr>
      </w:pPr>
      <w:bookmarkStart w:id="12" w:name="_Toc13638"/>
      <w:r>
        <w:rPr>
          <w:rFonts w:hint="default" w:ascii="Times New Roman" w:hAnsi="Times New Roman" w:eastAsia="黑体" w:cs="Times New Roman"/>
          <w:b w:val="0"/>
          <w:bCs w:val="0"/>
          <w:kern w:val="2"/>
          <w:sz w:val="21"/>
          <w:szCs w:val="21"/>
          <w:lang w:val="en-US" w:eastAsia="zh-CN" w:bidi="ar-SA"/>
        </w:rPr>
        <w:t>地标生境 Geographical Indications Environment &amp; Sustainability，GIES</w:t>
      </w:r>
      <w:bookmarkEnd w:id="12"/>
    </w:p>
    <w:p w14:paraId="2E440802">
      <w:pPr>
        <w:pStyle w:val="24"/>
        <w:keepNext w:val="0"/>
        <w:keepLines w:val="0"/>
        <w:pageBreakBefore w:val="0"/>
        <w:widowControl/>
        <w:numPr>
          <w:ilvl w:val="2"/>
          <w:numId w:val="0"/>
        </w:numPr>
        <w:kinsoku/>
        <w:wordWrap/>
        <w:overflowPunct/>
        <w:topLinePunct w:val="0"/>
        <w:autoSpaceDE/>
        <w:autoSpaceDN/>
        <w:bidi w:val="0"/>
        <w:adjustRightInd/>
        <w:snapToGrid/>
        <w:ind w:firstLine="420" w:firstLineChars="200"/>
        <w:textAlignment w:val="auto"/>
        <w:rPr>
          <w:rFonts w:hint="default" w:ascii="Times New Roman" w:hAnsi="Times New Roman" w:eastAsia="宋体" w:cs="Calibri"/>
          <w:kern w:val="2"/>
          <w:sz w:val="21"/>
          <w:szCs w:val="21"/>
          <w:lang w:val="en-US" w:eastAsia="zh-CN" w:bidi="ar-SA"/>
        </w:rPr>
      </w:pPr>
      <w:bookmarkStart w:id="13" w:name="_Toc20888"/>
      <w:r>
        <w:rPr>
          <w:rFonts w:hint="default" w:ascii="Times New Roman" w:hAnsi="Times New Roman" w:eastAsia="宋体" w:cs="Calibri"/>
          <w:kern w:val="2"/>
          <w:sz w:val="21"/>
          <w:szCs w:val="21"/>
          <w:lang w:val="en-US" w:eastAsia="zh-CN" w:bidi="ar-SA"/>
        </w:rPr>
        <w:t>优质地理产品生态环境保护与可持续发展。</w:t>
      </w:r>
      <w:bookmarkEnd w:id="13"/>
    </w:p>
    <w:p w14:paraId="11F4E969">
      <w:pPr>
        <w:pStyle w:val="24"/>
      </w:pPr>
      <w:bookmarkStart w:id="14" w:name="_Toc942023"/>
      <w:bookmarkEnd w:id="14"/>
      <w:bookmarkStart w:id="15" w:name="_Toc942352"/>
      <w:bookmarkEnd w:id="15"/>
      <w:bookmarkStart w:id="16" w:name="_Toc1651886"/>
      <w:bookmarkEnd w:id="16"/>
      <w:bookmarkStart w:id="17" w:name="_Toc18126"/>
      <w:bookmarkEnd w:id="17"/>
      <w:bookmarkStart w:id="18" w:name="_Toc201501789"/>
      <w:bookmarkStart w:id="19" w:name="_Toc30387"/>
    </w:p>
    <w:p w14:paraId="3845AB8A">
      <w:pPr>
        <w:pStyle w:val="24"/>
        <w:keepNext w:val="0"/>
        <w:keepLines w:val="0"/>
        <w:pageBreakBefore w:val="0"/>
        <w:widowControl/>
        <w:numPr>
          <w:ilvl w:val="2"/>
          <w:numId w:val="0"/>
        </w:numPr>
        <w:kinsoku/>
        <w:wordWrap/>
        <w:overflowPunct/>
        <w:topLinePunct w:val="0"/>
        <w:autoSpaceDE/>
        <w:autoSpaceDN/>
        <w:bidi w:val="0"/>
        <w:adjustRightInd/>
        <w:snapToGrid/>
        <w:ind w:firstLine="420" w:firstLineChars="200"/>
        <w:textAlignment w:val="auto"/>
      </w:pPr>
      <w:bookmarkStart w:id="20" w:name="_Toc28565"/>
      <w:r>
        <w:rPr>
          <w:rFonts w:hint="eastAsia"/>
        </w:rPr>
        <w:t>郧阳油橄榄</w:t>
      </w:r>
      <w:r>
        <w:t xml:space="preserve"> </w:t>
      </w:r>
      <w:bookmarkEnd w:id="18"/>
      <w:r>
        <w:t>Y</w:t>
      </w:r>
      <w:r>
        <w:rPr>
          <w:rFonts w:hint="eastAsia"/>
        </w:rPr>
        <w:t>un</w:t>
      </w:r>
      <w:r>
        <w:t>yang olive</w:t>
      </w:r>
      <w:bookmarkEnd w:id="19"/>
      <w:bookmarkEnd w:id="20"/>
    </w:p>
    <w:p w14:paraId="63D299DC">
      <w:pPr>
        <w:pStyle w:val="10"/>
        <w:rPr>
          <w:rFonts w:hint="eastAsia"/>
        </w:rPr>
      </w:pPr>
      <w:r>
        <w:rPr>
          <w:rFonts w:hint="eastAsia"/>
        </w:rPr>
        <w:t>在湖北郧阳独特的地理、气候和生态环境下种植的油橄榄。</w:t>
      </w:r>
    </w:p>
    <w:p w14:paraId="2AF6B70A">
      <w:pPr>
        <w:pStyle w:val="15"/>
        <w:rPr>
          <w:rFonts w:hint="eastAsia"/>
          <w:lang w:val="en-US" w:eastAsia="zh-CN"/>
        </w:rPr>
      </w:pPr>
      <w:bookmarkStart w:id="21" w:name="_Toc26422"/>
      <w:r>
        <w:rPr>
          <w:rFonts w:hint="eastAsia"/>
          <w:lang w:val="en-US" w:eastAsia="zh-CN"/>
        </w:rPr>
        <w:t>产地范围</w:t>
      </w:r>
      <w:bookmarkEnd w:id="21"/>
    </w:p>
    <w:p w14:paraId="7A305DDA">
      <w:pPr>
        <w:pStyle w:val="10"/>
        <w:rPr>
          <w:rFonts w:hint="eastAsia"/>
          <w:lang w:val="en-US" w:eastAsia="zh-CN"/>
        </w:rPr>
      </w:pPr>
      <w:r>
        <w:rPr>
          <w:rFonts w:hint="eastAsia"/>
        </w:rPr>
        <w:t>郧阳区油橄榄产区地处鄂西北，位于鄂豫陕渝四省交界地带，东北部与河南省相依，西部和北部分别与陕西省的白河县和商南县相接</w:t>
      </w:r>
      <w:r>
        <w:rPr>
          <w:rFonts w:hint="eastAsia"/>
          <w:lang w:eastAsia="zh-CN"/>
        </w:rPr>
        <w:t>，</w:t>
      </w:r>
      <w:r>
        <w:rPr>
          <w:rFonts w:hint="eastAsia"/>
          <w:lang w:val="en-US" w:eastAsia="zh-CN"/>
        </w:rPr>
        <w:t>具体</w:t>
      </w:r>
      <w:r>
        <w:rPr>
          <w:rFonts w:hint="eastAsia"/>
        </w:rPr>
        <w:t>见附录</w:t>
      </w:r>
      <w:r>
        <w:t>A</w:t>
      </w:r>
      <w:r>
        <w:rPr>
          <w:rFonts w:hint="eastAsia"/>
        </w:rPr>
        <w:t>。</w:t>
      </w:r>
    </w:p>
    <w:p w14:paraId="271C4541">
      <w:pPr>
        <w:pStyle w:val="15"/>
        <w:rPr>
          <w:rFonts w:hint="eastAsia"/>
        </w:rPr>
      </w:pPr>
      <w:bookmarkStart w:id="22" w:name="_Toc942353"/>
      <w:bookmarkEnd w:id="22"/>
      <w:bookmarkStart w:id="23" w:name="_Toc1651887"/>
      <w:bookmarkEnd w:id="23"/>
      <w:bookmarkStart w:id="24" w:name="_Toc942024"/>
      <w:bookmarkEnd w:id="24"/>
      <w:bookmarkStart w:id="25" w:name="_Toc18662"/>
      <w:r>
        <w:rPr>
          <w:rFonts w:hint="eastAsia"/>
          <w:lang w:val="en-US" w:eastAsia="zh-CN"/>
        </w:rPr>
        <w:t>生境条件</w:t>
      </w:r>
      <w:bookmarkEnd w:id="25"/>
    </w:p>
    <w:p w14:paraId="0C29956A">
      <w:pPr>
        <w:pStyle w:val="24"/>
      </w:pPr>
      <w:bookmarkStart w:id="26" w:name="_Toc11984"/>
      <w:r>
        <w:rPr>
          <w:rFonts w:hint="eastAsia"/>
          <w:lang w:val="en-US" w:eastAsia="zh-CN"/>
        </w:rPr>
        <w:t>地貌特征</w:t>
      </w:r>
      <w:bookmarkEnd w:id="26"/>
    </w:p>
    <w:p w14:paraId="3255A8E6">
      <w:pPr>
        <w:pStyle w:val="10"/>
      </w:pPr>
      <w:r>
        <w:rPr>
          <w:rFonts w:hint="eastAsia"/>
        </w:rPr>
        <w:t>郧阳油橄榄产区位于汉江上游下段秦巴山东延余脉褶皱缓坡地带，属北亚热带低山丘陵河谷地貌，地势总体呈北高南低。案例区海拔为0 m～1 072 m，其中87.8%的区域海拔低于550 m；坡度为0°～67°，其中89%的区域坡度小于25°。油橄榄种植区主要分布于安阳镇和杨溪铺镇汉江河谷两侧海拔600 m以下、坡度小于25°的平缓山坡地带。</w:t>
      </w:r>
    </w:p>
    <w:p w14:paraId="1B3D4B89">
      <w:pPr>
        <w:pStyle w:val="24"/>
      </w:pPr>
      <w:bookmarkStart w:id="27" w:name="_Toc28176"/>
      <w:bookmarkStart w:id="28" w:name="_Toc201501793"/>
      <w:r>
        <w:rPr>
          <w:rFonts w:hint="eastAsia"/>
        </w:rPr>
        <w:t>日照</w:t>
      </w:r>
      <w:bookmarkEnd w:id="27"/>
      <w:bookmarkEnd w:id="28"/>
    </w:p>
    <w:p w14:paraId="1987814B">
      <w:pPr>
        <w:pStyle w:val="10"/>
      </w:pPr>
      <w:r>
        <w:rPr>
          <w:rFonts w:hint="eastAsia" w:cs="Times New Roman"/>
        </w:rPr>
        <w:t>光照充足，年均日照1</w:t>
      </w:r>
      <w:r>
        <w:rPr>
          <w:rFonts w:cs="Times New Roman"/>
        </w:rPr>
        <w:t>768</w:t>
      </w:r>
      <w:r>
        <w:rPr>
          <w:rFonts w:hint="eastAsia" w:cs="Times New Roman"/>
        </w:rPr>
        <w:t>小时，平均日照百分率为45.0%</w:t>
      </w:r>
      <w:r>
        <w:rPr>
          <w:rFonts w:hint="eastAsia"/>
        </w:rPr>
        <w:t>。</w:t>
      </w:r>
    </w:p>
    <w:p w14:paraId="7E77C866">
      <w:pPr>
        <w:pStyle w:val="24"/>
      </w:pPr>
      <w:bookmarkStart w:id="29" w:name="_Toc201501794"/>
      <w:bookmarkStart w:id="30" w:name="_Toc26506"/>
      <w:r>
        <w:rPr>
          <w:rFonts w:hint="eastAsia"/>
        </w:rPr>
        <w:t>气温</w:t>
      </w:r>
      <w:bookmarkEnd w:id="29"/>
      <w:bookmarkEnd w:id="30"/>
    </w:p>
    <w:p w14:paraId="544FED0F">
      <w:pPr>
        <w:pStyle w:val="10"/>
      </w:pPr>
      <w:r>
        <w:rPr>
          <w:rFonts w:hint="eastAsia"/>
        </w:rPr>
        <w:t>多年平均气温约16.0 ℃，最热月日平均气温约27.6 ℃，最冷月（1月）平均气温约4.0 ℃，≥10 ℃年有效积温约5 139.3 ℃，无霜期约247 d。热量条件较为充足，能够满足油橄榄生长、开花坐果和果实成熟的基本需求。</w:t>
      </w:r>
    </w:p>
    <w:p w14:paraId="194649F8">
      <w:pPr>
        <w:pStyle w:val="24"/>
      </w:pPr>
      <w:bookmarkStart w:id="31" w:name="_Toc201501795"/>
      <w:bookmarkStart w:id="32" w:name="_Toc30431"/>
      <w:r>
        <w:rPr>
          <w:rFonts w:hint="eastAsia"/>
        </w:rPr>
        <w:t>降水</w:t>
      </w:r>
      <w:bookmarkEnd w:id="31"/>
      <w:bookmarkEnd w:id="32"/>
    </w:p>
    <w:p w14:paraId="389069B0">
      <w:pPr>
        <w:pStyle w:val="10"/>
      </w:pPr>
      <w:r>
        <w:rPr>
          <w:rFonts w:hint="eastAsia"/>
        </w:rPr>
        <w:t>案例区夏季炎热多雨，最热月日平均气温</w:t>
      </w:r>
      <w:r>
        <w:t>27.6 ℃</w:t>
      </w:r>
      <w:r>
        <w:rPr>
          <w:rFonts w:hint="eastAsia"/>
        </w:rPr>
        <w:t>，多年平均降水量</w:t>
      </w:r>
      <w:r>
        <w:t xml:space="preserve">939.86 </w:t>
      </w:r>
      <w:r>
        <w:rPr>
          <w:rFonts w:hint="eastAsia"/>
        </w:rPr>
        <w:t>mm，年均降水日数约为114天，其中</w:t>
      </w:r>
      <w:r>
        <w:t>5-9</w:t>
      </w:r>
      <w:r>
        <w:rPr>
          <w:rFonts w:hint="eastAsia"/>
        </w:rPr>
        <w:t>月集中了全年</w:t>
      </w:r>
      <w:r>
        <w:t>61.6</w:t>
      </w:r>
      <w:r>
        <w:rPr>
          <w:rFonts w:hint="eastAsia"/>
        </w:rPr>
        <w:t>%的降水，高温多雨期和油橄榄生长高峰期同步；冬季寒冷干燥，最冷月（1月）平均温度4</w:t>
      </w:r>
      <w:r>
        <w:t>.0 ℃</w:t>
      </w:r>
      <w:r>
        <w:rPr>
          <w:rFonts w:hint="eastAsia"/>
        </w:rPr>
        <w:t>，冬季（1</w:t>
      </w:r>
      <w:r>
        <w:t>2~2</w:t>
      </w:r>
      <w:r>
        <w:rPr>
          <w:rFonts w:hint="eastAsia"/>
        </w:rPr>
        <w:t>月）降雨量只占全年降雨量的6</w:t>
      </w:r>
      <w:r>
        <w:t>.72</w:t>
      </w:r>
      <w:r>
        <w:rPr>
          <w:rFonts w:hint="eastAsia"/>
        </w:rPr>
        <w:t>%。</w:t>
      </w:r>
    </w:p>
    <w:p w14:paraId="1733606E">
      <w:pPr>
        <w:pStyle w:val="24"/>
      </w:pPr>
      <w:bookmarkStart w:id="33" w:name="_Toc201501796"/>
      <w:bookmarkStart w:id="34" w:name="_Toc12613"/>
      <w:r>
        <w:rPr>
          <w:rFonts w:hint="eastAsia"/>
        </w:rPr>
        <w:t>土壤</w:t>
      </w:r>
      <w:bookmarkEnd w:id="33"/>
      <w:bookmarkEnd w:id="34"/>
    </w:p>
    <w:p w14:paraId="2907071F">
      <w:pPr>
        <w:pStyle w:val="10"/>
      </w:pPr>
      <w:r>
        <w:rPr>
          <w:rFonts w:hint="eastAsia"/>
        </w:rPr>
        <w:t>土壤以钙质砂砾黄棕壤为主，中性偏碱（pH平均7.05~7.2）。有机质（1.6%）和氮素（碱解氮平均76.27 mg/kg）普遍不足，仅21.9%的地块不缺氮。全氮（0.06%）、全碳（1.43%）和碳氮比（22.46）呈现表层富集特征。磷、钾含量差异较大，钙含量较高（3989~4485 mg/kg）。</w:t>
      </w:r>
    </w:p>
    <w:p w14:paraId="0DA8FBB8">
      <w:pPr>
        <w:pStyle w:val="24"/>
      </w:pPr>
      <w:bookmarkStart w:id="35" w:name="_Toc30160"/>
      <w:bookmarkStart w:id="36" w:name="_Toc201501797"/>
      <w:r>
        <w:rPr>
          <w:rFonts w:hint="eastAsia"/>
        </w:rPr>
        <w:t>水源</w:t>
      </w:r>
      <w:bookmarkEnd w:id="35"/>
      <w:bookmarkEnd w:id="36"/>
    </w:p>
    <w:p w14:paraId="26CD71F3">
      <w:pPr>
        <w:pStyle w:val="10"/>
      </w:pPr>
      <w:r>
        <w:rPr>
          <w:rFonts w:hint="eastAsia"/>
        </w:rPr>
        <w:t>共有766条河流（总长3351公里），主要河流包括汉江、堵河等。年均地表水资源10.17亿m³，过境客水达331.11亿m³（主要来自汉江）。水质优良，8个监测断面均达Ⅲ类以上标准，其中5个长期保持Ⅱ类。2024年检测显示，灌溉水pH 6.59~7.67，汞、砷、镉等指标远低于农田灌溉及饮用水标准限值。</w:t>
      </w:r>
    </w:p>
    <w:p w14:paraId="32994248">
      <w:pPr>
        <w:pStyle w:val="24"/>
      </w:pPr>
      <w:bookmarkStart w:id="37" w:name="_Toc1577"/>
      <w:bookmarkStart w:id="38" w:name="_Toc201501798"/>
      <w:r>
        <w:rPr>
          <w:rFonts w:hint="eastAsia"/>
        </w:rPr>
        <w:t>环境空气</w:t>
      </w:r>
      <w:bookmarkEnd w:id="37"/>
      <w:bookmarkEnd w:id="38"/>
    </w:p>
    <w:p w14:paraId="3C90972D">
      <w:pPr>
        <w:pStyle w:val="10"/>
      </w:pPr>
      <w:r>
        <w:rPr>
          <w:rFonts w:hint="eastAsia"/>
        </w:rPr>
        <w:t>环境空气质量标准（</w:t>
      </w:r>
      <w:r>
        <w:t>GB 3095</w:t>
      </w:r>
      <w:r>
        <w:rPr>
          <w:rFonts w:hint="eastAsia"/>
        </w:rPr>
        <w:t>）的二级标准。</w:t>
      </w:r>
    </w:p>
    <w:p w14:paraId="553313A8">
      <w:pPr>
        <w:pStyle w:val="15"/>
      </w:pPr>
      <w:bookmarkStart w:id="39" w:name="_Toc20383"/>
      <w:bookmarkStart w:id="40" w:name="_Toc201501799"/>
      <w:r>
        <w:rPr>
          <w:rFonts w:hint="eastAsia"/>
        </w:rPr>
        <w:t>油橄榄生产</w:t>
      </w:r>
      <w:bookmarkEnd w:id="39"/>
      <w:bookmarkEnd w:id="40"/>
    </w:p>
    <w:p w14:paraId="2385EBED">
      <w:pPr>
        <w:pStyle w:val="24"/>
      </w:pPr>
      <w:bookmarkStart w:id="41" w:name="_Toc201501800"/>
      <w:bookmarkStart w:id="42" w:name="_Toc1642"/>
      <w:r>
        <w:rPr>
          <w:rFonts w:hint="eastAsia"/>
        </w:rPr>
        <w:t>品种选择</w:t>
      </w:r>
      <w:bookmarkEnd w:id="41"/>
      <w:bookmarkEnd w:id="42"/>
    </w:p>
    <w:p w14:paraId="63B8990B">
      <w:pPr>
        <w:pStyle w:val="10"/>
      </w:pPr>
      <w:r>
        <w:rPr>
          <w:rFonts w:hint="eastAsia"/>
        </w:rPr>
        <w:t>本区域油橄榄种植应选择符合《油橄榄栽培技术规程》（GB/T 20397）和《食用植物油 橄榄油》（GB/T 23347）标准的高产、抗逆性强、油质优良的品种，优先选用适应当地气候（温暖干燥、光照充足）和土壤条件（pH 6.5~7.5，钙质砂壤土）的品种，如皮瓜尔（早产高产）、皮削利（抗瘠薄油质佳）、豆果（抗涝抗病）、奇迹（高油质晚熟）及备选菜星（抗冻抗病）。所选品种鲜果出油率应≥18%，橄榄油酸度≤0.8%（特级初榨标准），苗木需达到《油橄榄苗木》（LY/T 1844）国家一级标准，选用2~3年生容器大苗，要求根系发达、无检疫性病虫害，苗高≥1.5m，地径≥2cm，并提供品种审定证书、检疫证明及生产档案，确保品种纯度和可追溯性。</w:t>
      </w:r>
    </w:p>
    <w:p w14:paraId="3BD432CF">
      <w:pPr>
        <w:pStyle w:val="24"/>
      </w:pPr>
      <w:bookmarkStart w:id="43" w:name="_Toc24689"/>
      <w:r>
        <w:rPr>
          <w:rFonts w:hint="eastAsia"/>
        </w:rPr>
        <w:t>建园选址</w:t>
      </w:r>
      <w:bookmarkEnd w:id="43"/>
    </w:p>
    <w:p w14:paraId="54DE46A9">
      <w:pPr>
        <w:pStyle w:val="10"/>
      </w:pPr>
      <w:r>
        <w:rPr>
          <w:rFonts w:hint="eastAsia"/>
        </w:rPr>
        <w:t>油橄榄建园选址应优先选择背风向阳、光照充足的阳坡地或缓坡地（坡度≤25°），要求土层深厚（≥80cm）、透气排水良好的砂壤土或壤土，土壤pH值6.5-7.5、有机质含量≥1.5%，并具备可靠灌溉水源和良好排水条件（地下水位低于1.5m）。同时，选址需交通便利，远离污染源，确保年均气温14-20℃、冬季极端低温≥-10℃、年日照时数≥1800小时、年降水量500-1000mm等气候条件适宜油橄榄生长。对不符合要求的土壤需通过增施有机肥或石灰等措施进行改良。</w:t>
      </w:r>
    </w:p>
    <w:p w14:paraId="042D1CF9">
      <w:pPr>
        <w:pStyle w:val="24"/>
      </w:pPr>
      <w:bookmarkStart w:id="44" w:name="_Toc28499"/>
      <w:r>
        <w:rPr>
          <w:rFonts w:hint="eastAsia"/>
        </w:rPr>
        <w:t>栽培标准</w:t>
      </w:r>
      <w:bookmarkEnd w:id="44"/>
    </w:p>
    <w:p w14:paraId="3A38A424">
      <w:pPr>
        <w:pStyle w:val="26"/>
      </w:pPr>
      <w:r>
        <w:rPr>
          <w:rFonts w:hint="eastAsia"/>
        </w:rPr>
        <w:t>产地环境标准</w:t>
      </w:r>
    </w:p>
    <w:p w14:paraId="6F882D4C">
      <w:pPr>
        <w:pStyle w:val="10"/>
      </w:pPr>
      <w:r>
        <w:rPr>
          <w:rFonts w:hint="eastAsia"/>
        </w:rPr>
        <w:t>严格遵循《NY/T 391 绿色食品产地环境质量》要求：选址远离工矿污染源，大气、土壤、灌溉水质量符合绿色食品产地标准；土壤pH值6.5-7.5，重金属含量低于限值（镉≤0.3mg/kg、汞≤0.25mg/kg等）；灌溉水质符合农田灌溉水标准（COD≤150mg/L，总汞≤0.001mg/L等）。</w:t>
      </w:r>
    </w:p>
    <w:p w14:paraId="28C2BD3F">
      <w:pPr>
        <w:pStyle w:val="26"/>
      </w:pPr>
      <w:r>
        <w:rPr>
          <w:rFonts w:hint="eastAsia"/>
        </w:rPr>
        <w:t>栽培管理标准</w:t>
      </w:r>
    </w:p>
    <w:p w14:paraId="6B0E9BB4">
      <w:pPr>
        <w:pStyle w:val="10"/>
        <w:ind w:firstLineChars="0"/>
      </w:pPr>
      <w:r>
        <w:rPr>
          <w:rFonts w:hint="eastAsia"/>
        </w:rPr>
        <w:t>每年施用腐熟有机肥≥3吨/亩，配合深翻改良土壤行间生草覆盖，保持土壤有机质≥1.8%。肥料使用符合《NY/T 394 绿色食品肥料使用准则》推广水肥一体化技术，禁止使用城市垃圾肥。</w:t>
      </w:r>
    </w:p>
    <w:p w14:paraId="13C4805D">
      <w:pPr>
        <w:pStyle w:val="26"/>
      </w:pPr>
      <w:r>
        <w:rPr>
          <w:rFonts w:hint="eastAsia"/>
        </w:rPr>
        <w:t>栽培技术标准</w:t>
      </w:r>
    </w:p>
    <w:p w14:paraId="45369405">
      <w:pPr>
        <w:pStyle w:val="10"/>
      </w:pPr>
      <w:r>
        <w:rPr>
          <w:rFonts w:hint="eastAsia"/>
        </w:rPr>
        <w:t>整地要求：坡地（15-25°）采用梯台式垒土，底宽2m，种植面1.5m。平地采用高宽垄种植，垄高60-80cm，底宽4m。</w:t>
      </w:r>
    </w:p>
    <w:p w14:paraId="2DC97149">
      <w:pPr>
        <w:pStyle w:val="10"/>
      </w:pPr>
      <w:r>
        <w:rPr>
          <w:rFonts w:hint="eastAsia"/>
        </w:rPr>
        <w:t>基肥标准：每穴施腐熟有机肥30-50kg，配合颗粒杀虫剂50-80g。</w:t>
      </w:r>
    </w:p>
    <w:p w14:paraId="04DF5937">
      <w:pPr>
        <w:pStyle w:val="10"/>
      </w:pPr>
      <w:r>
        <w:rPr>
          <w:rFonts w:hint="eastAsia"/>
        </w:rPr>
        <w:t>种植要求：定植后浇杀菌定根水，设立扶正支架</w:t>
      </w:r>
    </w:p>
    <w:p w14:paraId="177875E5">
      <w:pPr>
        <w:pStyle w:val="26"/>
      </w:pPr>
      <w:r>
        <w:rPr>
          <w:rFonts w:hint="eastAsia"/>
        </w:rPr>
        <w:t>整形修剪标准</w:t>
      </w:r>
    </w:p>
    <w:p w14:paraId="29929F55">
      <w:pPr>
        <w:pStyle w:val="10"/>
        <w:ind w:left="420"/>
      </w:pPr>
      <w:r>
        <w:rPr>
          <w:rFonts w:hint="eastAsia"/>
        </w:rPr>
        <w:t>幼树（1-4年）：轻修剪，培养3-4主枝，主枝角度45°；盛果树（5-30年）：保持营养枝、结果枝、预备枝各1/3比例。禁止夏季重剪、留桩过长、使用未消毒工具。</w:t>
      </w:r>
    </w:p>
    <w:p w14:paraId="491DCCEA">
      <w:pPr>
        <w:pStyle w:val="24"/>
      </w:pPr>
      <w:bookmarkStart w:id="45" w:name="_Toc201501804"/>
      <w:bookmarkStart w:id="46" w:name="_Toc25401"/>
      <w:r>
        <w:rPr>
          <w:rFonts w:hint="eastAsia"/>
        </w:rPr>
        <w:t>病虫草害防治</w:t>
      </w:r>
      <w:bookmarkEnd w:id="45"/>
      <w:bookmarkEnd w:id="46"/>
    </w:p>
    <w:p w14:paraId="174B0FC4">
      <w:pPr>
        <w:pStyle w:val="26"/>
      </w:pPr>
      <w:r>
        <w:rPr>
          <w:rFonts w:hint="eastAsia"/>
        </w:rPr>
        <w:t>防治原则</w:t>
      </w:r>
    </w:p>
    <w:p w14:paraId="35A8951D">
      <w:pPr>
        <w:pStyle w:val="10"/>
      </w:pPr>
      <w:r>
        <w:rPr>
          <w:rFonts w:hint="eastAsia"/>
        </w:rPr>
        <w:t>油橄榄病虫害防治坚持"预防为主、综合防治"原则，优先采用农业防治（选用抗病品种、合理修剪）、生物防治（释放天敌、使用生物农药）和物理防治（诱虫灯、色板）等绿色防控措施。化学防治严格遵循NY/T 393标准，选用低毒低残留农药，重点做好冬季清园（11-12月石硫合剂）、春季开园（3-4月矿物油+杀菌剂）及生长期（5-6月防治大粒横沟象，6月、9月防治炭疽病）等关键节点防控。所有农药使用均建立台账，确保用药安全规范。</w:t>
      </w:r>
    </w:p>
    <w:p w14:paraId="1F6D5B3E">
      <w:pPr>
        <w:pStyle w:val="26"/>
      </w:pPr>
      <w:r>
        <w:rPr>
          <w:rFonts w:hint="eastAsia"/>
        </w:rPr>
        <w:t>炭疽病防治</w:t>
      </w:r>
    </w:p>
    <w:p w14:paraId="41522DF8">
      <w:pPr>
        <w:pStyle w:val="10"/>
      </w:pPr>
      <w:r>
        <w:rPr>
          <w:rFonts w:hint="eastAsia"/>
        </w:rPr>
        <w:t>依据油橄榄病虫害测报技术规范（LY/T 2892），当田间病叶率达5%或出现明显病斑时，选用25%嘧菌酯悬浮剂1500-2000倍液（有效成分300-450g/hm²）或50%苯醚甲环唑水分散粒剂3000-4000倍液（有效成分150-225g/hm²）进行全株喷雾防治。施药间隔7-10天，连续防治2-3次，重点喷施新梢和果实部位。施药应避开高温时段（10:00-15:00）和花期，安全间隔期≥30天。全年四次杀菌。</w:t>
      </w:r>
    </w:p>
    <w:p w14:paraId="08BA51C6">
      <w:pPr>
        <w:pStyle w:val="26"/>
      </w:pPr>
      <w:r>
        <w:rPr>
          <w:rFonts w:hint="eastAsia"/>
        </w:rPr>
        <w:t>虫害防治</w:t>
      </w:r>
    </w:p>
    <w:p w14:paraId="7BFE160D">
      <w:pPr>
        <w:pStyle w:val="10"/>
      </w:pPr>
      <w:r>
        <w:rPr>
          <w:rFonts w:hint="eastAsia"/>
        </w:rPr>
        <w:t>油橄榄病虫害防治抓好春末夏初（5-6月）和中秋（9月）两个关键防治时期。针对主要虫害如大粒横沟象、天牛幼虫等，应采取"人工捕捉+药剂防治"的综合措施，在危害部位喷施乳油杀虫剂后，再撒施颗粒杀虫剂拌土熏蒸。同时，冬季清园（11-12月）和春季开园（3-4月）的全面消杀工作至关重要，能有效减少越冬虫卵基数。日常管理中，要结合除草、修剪等农事操作，保持园区通风透光，有条件的可安装诱虫灯等物理防治设施。通过全年四次杀菌、两次专项虫害防治的系统管理，配合农业、生物、物理等综合防治手段，可实现病虫害的有效防控，确保油橄榄健康生长。</w:t>
      </w:r>
    </w:p>
    <w:p w14:paraId="5DA0FCD6">
      <w:pPr>
        <w:pStyle w:val="26"/>
      </w:pPr>
      <w:r>
        <w:rPr>
          <w:rFonts w:hint="eastAsia"/>
        </w:rPr>
        <w:t>杂草</w:t>
      </w:r>
    </w:p>
    <w:p w14:paraId="0410915C">
      <w:pPr>
        <w:pStyle w:val="10"/>
      </w:pPr>
      <w:r>
        <w:rPr>
          <w:rFonts w:hint="eastAsia"/>
        </w:rPr>
        <w:t>采用人工中耕除草。</w:t>
      </w:r>
    </w:p>
    <w:p w14:paraId="0AA53451">
      <w:pPr>
        <w:pStyle w:val="15"/>
      </w:pPr>
      <w:bookmarkStart w:id="47" w:name="_Toc32662"/>
      <w:bookmarkStart w:id="48" w:name="_Toc201501805"/>
      <w:r>
        <w:rPr>
          <w:rFonts w:hint="eastAsia"/>
        </w:rPr>
        <w:t>收获</w:t>
      </w:r>
      <w:bookmarkEnd w:id="47"/>
      <w:bookmarkEnd w:id="48"/>
    </w:p>
    <w:p w14:paraId="4246BF43">
      <w:pPr>
        <w:pStyle w:val="10"/>
      </w:pPr>
      <w:r>
        <w:rPr>
          <w:rFonts w:hint="eastAsia"/>
        </w:rPr>
        <w:t>油橄榄采收应在果实成熟度达80%以上（果皮呈现品种特征色，果肉含油率≥18%）、天气晴朗时进行，采用人工采摘方式，轻摘轻放并保留果柄，避免果实损伤。采收后需在2小时内完成初选，剔除病虫果、杂质，并按等级存放于透气容器中（堆高≤50cm），确保8小时内运输至加工厂。用于特级初榨橄榄油的原料须在采收后4小时内完成加工，且禁止混入落地果，以保障油脂品质。采收全过程应避开雨天、高温时段，防止果实霉变或氧化。</w:t>
      </w:r>
    </w:p>
    <w:p w14:paraId="2F244947">
      <w:pPr>
        <w:pStyle w:val="15"/>
      </w:pPr>
      <w:bookmarkStart w:id="49" w:name="_Toc201501806"/>
      <w:bookmarkStart w:id="50" w:name="_Toc30016"/>
      <w:r>
        <w:rPr>
          <w:rFonts w:hint="eastAsia"/>
        </w:rPr>
        <w:t>加工生产</w:t>
      </w:r>
      <w:bookmarkEnd w:id="49"/>
      <w:bookmarkEnd w:id="50"/>
    </w:p>
    <w:p w14:paraId="1E1BFDC4">
      <w:pPr>
        <w:pStyle w:val="24"/>
      </w:pPr>
      <w:bookmarkStart w:id="51" w:name="_Toc201501807"/>
      <w:bookmarkStart w:id="52" w:name="_Toc23346"/>
      <w:r>
        <w:rPr>
          <w:rFonts w:hint="eastAsia"/>
        </w:rPr>
        <w:t>厂房环境</w:t>
      </w:r>
      <w:bookmarkEnd w:id="51"/>
      <w:bookmarkEnd w:id="52"/>
    </w:p>
    <w:p w14:paraId="32E2FAEE">
      <w:pPr>
        <w:pStyle w:val="10"/>
      </w:pPr>
      <w:r>
        <w:rPr>
          <w:rFonts w:hint="eastAsia"/>
        </w:rPr>
        <w:t>加工企业应建在交通方便、水源充足，远离粉尘、烟雾、有害气体及污染的地区。厂区内的环境卫生、生产车间卫生、个人卫生健康应符合国家有关规定。</w:t>
      </w:r>
    </w:p>
    <w:p w14:paraId="48C1552D">
      <w:pPr>
        <w:pStyle w:val="24"/>
      </w:pPr>
      <w:bookmarkStart w:id="53" w:name="_Toc7932"/>
      <w:bookmarkStart w:id="54" w:name="_Toc201501808"/>
      <w:r>
        <w:rPr>
          <w:rFonts w:hint="eastAsia"/>
        </w:rPr>
        <w:t>机械设施</w:t>
      </w:r>
      <w:bookmarkEnd w:id="53"/>
      <w:bookmarkEnd w:id="54"/>
    </w:p>
    <w:p w14:paraId="3BED7B96">
      <w:pPr>
        <w:pStyle w:val="10"/>
      </w:pPr>
      <w:r>
        <w:rPr>
          <w:rFonts w:hint="eastAsia"/>
        </w:rPr>
        <w:t>油橄榄加工设备所有与被加工原料（油橄榄鲜果、果浆、毛油等）直接接触的零部件，必须采用 食品级不锈钢（304或316L） 或 食品级工程塑料（符合GB 4806.7），严禁使用含铅、镉等重金属的材质。设备表面应光滑、无死角，避免残留果渣或油脂，防止微生物滋生。严禁漏油、渗油：设备传动部件（如轴承、齿轮箱）必须与原料接触区完全隔离，采用 食品级润滑剂，并设置防渗漏装置。禁止油污或油漆污染：防腐蚀处长期接触果酸或盐分的部件（如果汁分离槽）需做钝化处理，防止金属离子迁移。</w:t>
      </w:r>
    </w:p>
    <w:p w14:paraId="20AAF3F9">
      <w:pPr>
        <w:pStyle w:val="24"/>
      </w:pPr>
      <w:bookmarkStart w:id="55" w:name="_Toc21357"/>
      <w:bookmarkStart w:id="56" w:name="_Toc201501809"/>
      <w:r>
        <w:rPr>
          <w:rFonts w:hint="eastAsia"/>
        </w:rPr>
        <w:t>加工工艺流程</w:t>
      </w:r>
      <w:bookmarkEnd w:id="55"/>
      <w:bookmarkEnd w:id="56"/>
    </w:p>
    <w:p w14:paraId="595E6010">
      <w:pPr>
        <w:pStyle w:val="26"/>
      </w:pPr>
      <w:r>
        <w:rPr>
          <w:rFonts w:hint="eastAsia"/>
        </w:rPr>
        <w:t>原料验收与预处理</w:t>
      </w:r>
    </w:p>
    <w:p w14:paraId="14982007">
      <w:pPr>
        <w:pStyle w:val="10"/>
      </w:pPr>
      <w:r>
        <w:rPr>
          <w:rFonts w:hint="eastAsia"/>
        </w:rPr>
        <w:t>鲜果加工前应进行除叶、分选和清洗，清除枝叶、泥沙、病果、腐烂果及其他杂质。清洗后的鲜果应及时进入后续加工环节，确保叶柄残留≤0.3%、果梗残留≤0.5%；同时建立严格的原料溯源档案，按照GB 5491标准进行每批次取样检测，对不合格原料进行单独存放标识，并要求所有预处理设备每日清洗消毒，确保原料在采收后24小时内完成全部预处理工序以保持最佳新鲜度，特殊品种原料则根据其特性适当调整工艺参数</w:t>
      </w:r>
    </w:p>
    <w:p w14:paraId="05B09969">
      <w:pPr>
        <w:pStyle w:val="26"/>
      </w:pPr>
      <w:r>
        <w:rPr>
          <w:rFonts w:hint="eastAsia"/>
        </w:rPr>
        <w:t>低温压榨工艺</w:t>
      </w:r>
    </w:p>
    <w:p w14:paraId="42E97B2B">
      <w:pPr>
        <w:pStyle w:val="10"/>
      </w:pPr>
      <w:r>
        <w:rPr>
          <w:rFonts w:hint="eastAsia"/>
        </w:rPr>
        <w:t>本工艺严格遵循GB/T 23347-2021《橄榄油、油橄榄果渣油》的压榨要求，采用三级低温处理工艺：（1）破碎工序：使用食品级304/316L不锈钢齿辊破碎机，将油橄榄果实均匀破碎至3-5mm粒度，全过程温度控制在30℃以下；（2）搅拌工艺：在密闭式氮气保护搅拌罐中进行25-27℃的低温搅拌，持续30-40分钟，搅拌速度稳定在15-20rpm；（3）离心分离：采用316L不锈钢三相卧式离心机，在0.2-0.3MPa工作压力下分离，确保特级初榨油得率≥85%，果渣含水率≤25%。全过程实施温度监控和氮气保护，最大程度保留油品营养和风味物质。</w:t>
      </w:r>
    </w:p>
    <w:p w14:paraId="56661A82">
      <w:pPr>
        <w:pStyle w:val="26"/>
      </w:pPr>
      <w:r>
        <w:rPr>
          <w:rFonts w:hint="eastAsia"/>
        </w:rPr>
        <w:t>油品精制</w:t>
      </w:r>
    </w:p>
    <w:p w14:paraId="00BC089B">
      <w:pPr>
        <w:pStyle w:val="10"/>
      </w:pPr>
      <w:r>
        <w:rPr>
          <w:rFonts w:hint="eastAsia"/>
        </w:rPr>
        <w:t>严格遵循GB/T 23347-2021《橄榄油、油橄榄果渣油》中关于精炼油品的相关规定，采用四级精制工艺：（1）脱胶处理：通过水化脱胶工艺，在60±2℃恒温条件下按油重1-2%添加软化水，搅拌30±5分钟，经离心分离后确保磷脂含量≤0.1%，符合GB 15196对食用植物油中磷脂含量的限量要求；（2）脱酸工艺：采用物理蒸汽蒸馏法，在180-220℃温度范围内进行脱酸处理，通过精确控制蒸汽流量和真空度（≤10mbar），使游离脂肪酸（FFA）含量≤0.3%，过氧化值≤5mmol/kg；（3）脱色处理：添加符合GB 25571要求的食品级活性白土（添加量1-3%），在80-90℃条件下搅拌20-30分钟，经板框过滤后油脂色泽达到罗维朋比色槽133.4mm黄色≤20、红色≤2.0的标准；（4）脱臭工序：采用分子蒸馏设备，在200-240℃高温和≤5mbar高真空条件下处理2-3小时，确保成品油符合GB 2716对气味、滋味的要求，且苯并芘含量≤5μg/kg。全过程严格监控温度、时间和压力参数，确保各项指标达到GB/T 23347中对精炼橄榄油的质量要求。</w:t>
      </w:r>
    </w:p>
    <w:p w14:paraId="0DC65D78">
      <w:pPr>
        <w:pStyle w:val="26"/>
      </w:pPr>
      <w:r>
        <w:rPr>
          <w:rFonts w:hint="eastAsia"/>
        </w:rPr>
        <w:t>过滤工艺标准</w:t>
      </w:r>
    </w:p>
    <w:p w14:paraId="0F0840B6">
      <w:pPr>
        <w:pStyle w:val="10"/>
        <w:ind w:firstLineChars="0"/>
      </w:pPr>
      <w:r>
        <w:rPr>
          <w:rFonts w:hint="eastAsia"/>
        </w:rPr>
        <w:t>采用符合GB 4806.7标准的食品级板框过滤设备，配置孔径≤0.5μm的专用滤材，在恒温（18-22℃）环境下进行多级梯度过滤，确保成品油浊度≤5NTU，同时有效截留粒径≥1μm的悬浮杂质，全过程严格执行GB/T 15687油脂过滤操作规程。</w:t>
      </w:r>
    </w:p>
    <w:p w14:paraId="5EB8ACFC">
      <w:pPr>
        <w:pStyle w:val="26"/>
      </w:pPr>
      <w:r>
        <w:rPr>
          <w:rFonts w:hint="eastAsia"/>
        </w:rPr>
        <w:t>油品储存管理</w:t>
      </w:r>
    </w:p>
    <w:p w14:paraId="278BCCE2">
      <w:pPr>
        <w:pStyle w:val="10"/>
        <w:ind w:firstLineChars="0"/>
      </w:pPr>
      <w:r>
        <w:rPr>
          <w:rFonts w:hint="eastAsia"/>
        </w:rPr>
        <w:t>严格遵循GB/T 23347-2021《橄榄油、油橄榄果渣油》的储存要求，采用316L不锈钢材质储罐（内壁经电解抛光处理，表面粗糙度Ra≤0.4μm），配备氮气保护系统（氧含量≤0.5%）和智能温控系统（15-18℃）；储存过程严格执行GB/T 23347的批次管理规范，建立完整的油品追溯档案，定期进行品质检测（酸价每月1次、过氧化值每季度1次），确保各项指标符合特级初榨油标准；实施"先进先出"的周转原则，控制库存周期≤90天，并在每批次使用前按照GB 14881的卫生要求对储罐进行CIP清洗消毒，确保储运过程的质量安全。</w:t>
      </w:r>
    </w:p>
    <w:p w14:paraId="6775C360">
      <w:pPr>
        <w:pStyle w:val="26"/>
      </w:pPr>
      <w:r>
        <w:rPr>
          <w:rFonts w:hint="eastAsia"/>
        </w:rPr>
        <w:t>灌装与包装工艺标准</w:t>
      </w:r>
    </w:p>
    <w:p w14:paraId="2BD528D8">
      <w:pPr>
        <w:pStyle w:val="10"/>
      </w:pPr>
      <w:r>
        <w:rPr>
          <w:rFonts w:hint="eastAsia"/>
        </w:rPr>
        <w:t>本工艺严格遵循GB/T 23347-2021《橄榄油、油橄榄果渣油》和GB 2716-2018《食品安全国家标准 植物油》的相关规定，采用全流程无菌灌装系统：灌装设备选用符合GB 16798要求的全自动生产线，灌装精度控制在±1ml，灌装温度严格保持在25℃以下；包装材料选用符合GB 4806.5标准的深色玻璃瓶或GB 4806.10规定的马口铁罐，所有材料均需提供食品接触材料安全认证；实施严格的顶空充氮工艺（氧含量≤1%），封口后经0.08MPa气密性检测；标签标识严格按GB 7718规定标注产品信息，包括酸价、过氧化值、生产日期及保质期（特级初榨油≤18个月）；成品储存于10-15℃恒温库房（相对湿度≤60%），堆码高度不超过5层；运输过程采用12-18℃冷链系统，运输车辆配备温度监控记录装置，确保全程避光防震。</w:t>
      </w:r>
    </w:p>
    <w:p w14:paraId="43C6F195">
      <w:pPr>
        <w:pStyle w:val="26"/>
      </w:pPr>
      <w:r>
        <w:rPr>
          <w:rFonts w:hint="eastAsia"/>
        </w:rPr>
        <w:t>废渣处理</w:t>
      </w:r>
    </w:p>
    <w:p w14:paraId="487ECE8E">
      <w:pPr>
        <w:pStyle w:val="10"/>
      </w:pPr>
      <w:r>
        <w:rPr>
          <w:rFonts w:hint="eastAsia"/>
        </w:rPr>
        <w:t>本工艺严格遵循GB 18599《一般工业固体废物贮存和填埋污染控制标准》及NY 525《有机肥料》要求，对油橄榄废渣实施规范化处理：压榨废渣（含水率≤25%、有机质≥60%）与精炼废渣（酸价≤5mg KOH/g、重金属达标）分类处置，主要采用槽式好氧发酵工艺（55-65℃持续15天，C/N比25-30:1）转化为符合NY 525标准的有机肥（有机质≥30%、含水率≤30%），或干燥至含水率≤15%制成热值≥3500kcal/kg的生物质燃料。</w:t>
      </w:r>
    </w:p>
    <w:p w14:paraId="2B8CC0AF">
      <w:pPr>
        <w:pStyle w:val="26"/>
      </w:pPr>
      <w:r>
        <w:rPr>
          <w:rFonts w:hint="eastAsia"/>
        </w:rPr>
        <w:t>监控生产加工过程</w:t>
      </w:r>
    </w:p>
    <w:p w14:paraId="51C8C7B9">
      <w:pPr>
        <w:pStyle w:val="10"/>
      </w:pPr>
      <w:r>
        <w:rPr>
          <w:rFonts w:hint="eastAsia"/>
        </w:rPr>
        <w:t>进行检验控制，加工厂应有适应的检验(化验)室和检验设备，检验人员应对油橄榄进厂、加工直至成品出厂全过程进行监督检查，重点做好油橄榄原料验收环节、半成品检验应有原始记录，原始记录的格式应规范、填写认真、字迹清楚、各项原始记录按规定保存。</w:t>
      </w:r>
    </w:p>
    <w:p w14:paraId="1EA2EF5B">
      <w:pPr>
        <w:pStyle w:val="24"/>
      </w:pPr>
      <w:bookmarkStart w:id="57" w:name="_Toc21661"/>
      <w:bookmarkStart w:id="58" w:name="_Toc201501810"/>
      <w:r>
        <w:rPr>
          <w:rFonts w:hint="eastAsia"/>
        </w:rPr>
        <w:t>加工企业质量管理</w:t>
      </w:r>
      <w:bookmarkEnd w:id="57"/>
      <w:bookmarkEnd w:id="58"/>
    </w:p>
    <w:p w14:paraId="6BC54628">
      <w:pPr>
        <w:pStyle w:val="26"/>
      </w:pPr>
      <w:r>
        <w:rPr>
          <w:rFonts w:hint="eastAsia"/>
        </w:rPr>
        <w:t>管理制度</w:t>
      </w:r>
    </w:p>
    <w:p w14:paraId="0A214D0B">
      <w:pPr>
        <w:pStyle w:val="10"/>
      </w:pPr>
      <w:r>
        <w:rPr>
          <w:rFonts w:hint="eastAsia"/>
        </w:rPr>
        <w:t>加工企业应制定质量方针，各个岗位应有完善的管理制度，即从原材料到成品出厂的质量管理制度，对各项制度应保证运行有效。</w:t>
      </w:r>
    </w:p>
    <w:p w14:paraId="3A9550AD">
      <w:pPr>
        <w:pStyle w:val="26"/>
      </w:pPr>
      <w:r>
        <w:rPr>
          <w:rFonts w:hint="eastAsia"/>
        </w:rPr>
        <w:t>档案及记录</w:t>
      </w:r>
    </w:p>
    <w:p w14:paraId="0D44C0BC">
      <w:pPr>
        <w:pStyle w:val="10"/>
      </w:pPr>
      <w:r>
        <w:rPr>
          <w:rFonts w:hint="eastAsia"/>
        </w:rPr>
        <w:t>人员健康、设备、油橄榄档案，油橄榄产地环境和生产技术档案，生产车间的交接班记录，检验室计量器具档案和使用记录，检验报告及记录等都需具备并妥善保存。建立原料溯源档案（包含产地环境、种植记录等）。保存设备维护记录、检验报告等（保存期≥产品保质期+6个月）</w:t>
      </w:r>
    </w:p>
    <w:p w14:paraId="21A2B581">
      <w:pPr>
        <w:pStyle w:val="26"/>
      </w:pPr>
      <w:r>
        <w:rPr>
          <w:rFonts w:hint="eastAsia"/>
        </w:rPr>
        <w:t>检验控制</w:t>
      </w:r>
    </w:p>
    <w:p w14:paraId="7A19DB18">
      <w:pPr>
        <w:pStyle w:val="10"/>
      </w:pPr>
      <w:r>
        <w:rPr>
          <w:rFonts w:hint="eastAsia"/>
        </w:rPr>
        <w:t>应进行油橄榄及加工成品加工质量的检验，对成品卫生指标的检验应由省级以上认可的检验机构承担。</w:t>
      </w:r>
    </w:p>
    <w:p w14:paraId="4CF721A0">
      <w:pPr>
        <w:pStyle w:val="26"/>
      </w:pPr>
      <w:r>
        <w:rPr>
          <w:rFonts w:hint="eastAsia"/>
        </w:rPr>
        <w:t>制度实施</w:t>
      </w:r>
    </w:p>
    <w:p w14:paraId="3FD1E558">
      <w:pPr>
        <w:pStyle w:val="10"/>
      </w:pPr>
      <w:r>
        <w:rPr>
          <w:rFonts w:hint="eastAsia"/>
        </w:rPr>
        <w:t>检查加工企业应定期评审管理制度实施情况，对生产车间每月进行一次制度实施检查，对成品库每月进行一次制度实施检查。</w:t>
      </w:r>
    </w:p>
    <w:p w14:paraId="72584239">
      <w:pPr>
        <w:pStyle w:val="24"/>
      </w:pPr>
      <w:bookmarkStart w:id="59" w:name="_Toc23474"/>
      <w:bookmarkStart w:id="60" w:name="_Toc201501811"/>
      <w:r>
        <w:rPr>
          <w:rFonts w:hint="eastAsia"/>
        </w:rPr>
        <w:t>运输和贮存</w:t>
      </w:r>
      <w:bookmarkEnd w:id="59"/>
      <w:bookmarkEnd w:id="60"/>
    </w:p>
    <w:p w14:paraId="51317FA7">
      <w:pPr>
        <w:pStyle w:val="10"/>
      </w:pPr>
      <w:r>
        <w:rPr>
          <w:rFonts w:hint="eastAsia"/>
        </w:rPr>
        <w:t>对油橄榄产品实施全过程储运管理：在运输环节，必须使用专用食品级运输车辆，配备GPS温控监控系统，确保全程温度控制在12-18℃范围内；运输车辆必须清洁卫生，经消毒处理并持有检验合格证明，运输过程中需采取防雨、防晒、防震措施，严禁与有毒有害物品混运。在贮存环节，成品油应储存在15-18℃恒温库房内，相对湿度控制在60%以下；包装成品需离地20cm、离墙30cm以上存放，堆码高度不超过5层，库房应保持清洁干燥、通风良好，配备防鼠防虫设施；建立完善的温湿度监控记录系统，每日检查储存条件并记录，确保产品在保质期内（特级初榨油≤18个月）保持优良品质。</w:t>
      </w:r>
    </w:p>
    <w:p w14:paraId="72FAFD96">
      <w:pPr>
        <w:pStyle w:val="15"/>
      </w:pPr>
      <w:bookmarkStart w:id="61" w:name="_Toc201501812"/>
      <w:bookmarkStart w:id="62" w:name="_Toc13301"/>
      <w:r>
        <w:rPr>
          <w:rFonts w:hint="eastAsia"/>
        </w:rPr>
        <w:t>销售</w:t>
      </w:r>
      <w:bookmarkEnd w:id="61"/>
      <w:bookmarkEnd w:id="62"/>
    </w:p>
    <w:p w14:paraId="21DF4E1E">
      <w:pPr>
        <w:pStyle w:val="24"/>
      </w:pPr>
      <w:r>
        <w:t xml:space="preserve"> </w:t>
      </w:r>
      <w:bookmarkStart w:id="63" w:name="_Toc201501813"/>
      <w:bookmarkStart w:id="64" w:name="_Toc31319"/>
      <w:r>
        <w:t>授权资质管理‌</w:t>
      </w:r>
      <w:bookmarkEnd w:id="63"/>
      <w:bookmarkEnd w:id="64"/>
    </w:p>
    <w:p w14:paraId="0EC49AA9">
      <w:pPr>
        <w:pStyle w:val="10"/>
      </w:pPr>
      <w:r>
        <w:rPr>
          <w:rFonts w:hint="eastAsia"/>
        </w:rPr>
        <w:t>为确保郧阳油橄榄的市场公信力与品牌价值，需严格遵循相关机构的授权要求，并建立完整的资质管理体系。</w:t>
      </w:r>
    </w:p>
    <w:p w14:paraId="276DFCFE">
      <w:pPr>
        <w:pStyle w:val="24"/>
      </w:pPr>
      <w:bookmarkStart w:id="65" w:name="_Toc201501814"/>
      <w:bookmarkStart w:id="66" w:name="_Toc12964"/>
      <w:r>
        <w:rPr>
          <w:rFonts w:hint="eastAsia"/>
        </w:rPr>
        <w:t>品牌授权</w:t>
      </w:r>
      <w:bookmarkEnd w:id="65"/>
      <w:bookmarkEnd w:id="66"/>
    </w:p>
    <w:p w14:paraId="418F6D92">
      <w:pPr>
        <w:pStyle w:val="10"/>
      </w:pPr>
      <w:r>
        <w:rPr>
          <w:rFonts w:hint="eastAsia"/>
        </w:rPr>
        <w:t>由郧阳区政府对申请企业的郧阳油橄榄种植、加工、仓储等环节进行审核，符合郧阳油橄榄的</w:t>
      </w:r>
      <w:r>
        <w:t>标准后颁发授权证书。</w:t>
      </w:r>
    </w:p>
    <w:p w14:paraId="366B56F3">
      <w:pPr>
        <w:pStyle w:val="24"/>
      </w:pPr>
      <w:bookmarkStart w:id="67" w:name="_Toc15507"/>
      <w:bookmarkStart w:id="68" w:name="_Toc201501815"/>
      <w:r>
        <w:rPr>
          <w:rFonts w:hint="eastAsia"/>
        </w:rPr>
        <w:t>包装备案</w:t>
      </w:r>
      <w:r>
        <w:t>‌</w:t>
      </w:r>
      <w:bookmarkEnd w:id="67"/>
      <w:bookmarkEnd w:id="68"/>
    </w:p>
    <w:p w14:paraId="4EF38B1B">
      <w:pPr>
        <w:pStyle w:val="10"/>
      </w:pPr>
      <w:r>
        <w:rPr>
          <w:rFonts w:hint="eastAsia"/>
        </w:rPr>
        <w:t>企业就“郧阳油橄榄”的包装、展示文字内容（logo、二维码等）需要向中国地理学会申请</w:t>
      </w:r>
      <w:r>
        <w:t>进行</w:t>
      </w:r>
      <w:r>
        <w:rPr>
          <w:rFonts w:hint="eastAsia"/>
        </w:rPr>
        <w:t>备案</w:t>
      </w:r>
      <w:r>
        <w:t>，确保其符合地理标志产品的视觉识别标准。</w:t>
      </w:r>
      <w:r>
        <w:rPr>
          <w:rFonts w:hint="eastAsia"/>
        </w:rPr>
        <w:t>借助中国地理学会的权威性，增强产品的科学可信度，突出其产地特色与生态价值。</w:t>
      </w:r>
    </w:p>
    <w:p w14:paraId="702C7B0C">
      <w:pPr>
        <w:pStyle w:val="24"/>
      </w:pPr>
      <w:bookmarkStart w:id="69" w:name="_Toc201501816"/>
      <w:bookmarkStart w:id="70" w:name="_Toc18100"/>
      <w:r>
        <w:rPr>
          <w:rFonts w:hint="eastAsia"/>
        </w:rPr>
        <w:t>产品溯源</w:t>
      </w:r>
      <w:bookmarkEnd w:id="69"/>
      <w:bookmarkEnd w:id="70"/>
    </w:p>
    <w:p w14:paraId="75797F4E">
      <w:pPr>
        <w:pStyle w:val="10"/>
        <w:rPr>
          <w:b/>
          <w:bCs/>
          <w:sz w:val="30"/>
          <w:szCs w:val="30"/>
        </w:rPr>
      </w:pPr>
      <w:r>
        <w:rPr>
          <w:rFonts w:hint="eastAsia"/>
        </w:rPr>
        <w:t>产品包装上需具备“郧阳油橄榄”生境保护与可持续发展案例、生境实时监测二维码以及溯源二维码（包含种植、加工、检测等全流程信息），同时必须标识优质地理产品“</w:t>
      </w:r>
      <w:r>
        <w:rPr>
          <w:rFonts w:hint="eastAsia"/>
          <w:lang w:val="en-US" w:eastAsia="zh-CN"/>
        </w:rPr>
        <w:t>郧阳油橄榄</w:t>
      </w:r>
      <w:r>
        <w:rPr>
          <w:rFonts w:hint="eastAsia"/>
        </w:rPr>
        <w:t>”中国科技资源注册号（CSTR）、国际数字化注册号（DOI）及世界数据中心编号，以便于消费者进行产品溯源和识别真伪。</w:t>
      </w:r>
    </w:p>
    <w:p w14:paraId="5115CE98">
      <w:pPr>
        <w:pStyle w:val="15"/>
      </w:pPr>
      <w:bookmarkStart w:id="71" w:name="_Toc201501817"/>
      <w:bookmarkStart w:id="72" w:name="_Toc12081"/>
      <w:r>
        <w:rPr>
          <w:rFonts w:hint="eastAsia"/>
        </w:rPr>
        <w:t>管理</w:t>
      </w:r>
      <w:bookmarkEnd w:id="71"/>
      <w:bookmarkEnd w:id="72"/>
    </w:p>
    <w:p w14:paraId="4CA36F6A">
      <w:pPr>
        <w:pStyle w:val="24"/>
      </w:pPr>
      <w:bookmarkStart w:id="73" w:name="_Toc9484"/>
      <w:bookmarkStart w:id="74" w:name="_Toc201501818"/>
      <w:r>
        <w:rPr>
          <w:rFonts w:hint="eastAsia"/>
        </w:rPr>
        <w:t>管理体系</w:t>
      </w:r>
      <w:bookmarkEnd w:id="73"/>
      <w:bookmarkEnd w:id="74"/>
    </w:p>
    <w:p w14:paraId="34F61950">
      <w:pPr>
        <w:pStyle w:val="10"/>
      </w:pPr>
      <w:r>
        <w:rPr>
          <w:rFonts w:hint="eastAsia"/>
        </w:rPr>
        <w:t>构建多层级、专业化的工作团队，明确权责边界与协作机制，确保郧阳油橄榄从生产到销售的全链条管理责任到人。领导小组统筹行政资源与政策支持，技术团队提供科学支撑与执行保障，形成“政府引导</w:t>
      </w:r>
      <w:r>
        <w:t>+专家指导+属地落实”的协同体系，解决跨部门协作低效、技术标准执行偏差等问题，为标准化建设提供组织保障。</w:t>
      </w:r>
    </w:p>
    <w:p w14:paraId="6035E9CD">
      <w:pPr>
        <w:pStyle w:val="26"/>
      </w:pPr>
      <w:r>
        <w:rPr>
          <w:rFonts w:hint="eastAsia"/>
        </w:rPr>
        <w:t>领导小组</w:t>
      </w:r>
    </w:p>
    <w:p w14:paraId="0F575237">
      <w:pPr>
        <w:pStyle w:val="10"/>
      </w:pPr>
      <w:r>
        <w:rPr>
          <w:rFonts w:hint="eastAsia"/>
        </w:rPr>
        <w:t>由郧阳区政府主导，郧阳区农业农村局牵头，自然资源局、市场监督管理局、属地乡镇政府负责人紧密配合。</w:t>
      </w:r>
    </w:p>
    <w:p w14:paraId="23F9BB4F">
      <w:pPr>
        <w:pStyle w:val="26"/>
      </w:pPr>
      <w:r>
        <w:rPr>
          <w:rFonts w:hint="eastAsia"/>
        </w:rPr>
        <w:t>组长</w:t>
      </w:r>
    </w:p>
    <w:p w14:paraId="3E93896F">
      <w:pPr>
        <w:pStyle w:val="10"/>
      </w:pPr>
      <w:r>
        <w:rPr>
          <w:rFonts w:hint="eastAsia"/>
        </w:rPr>
        <w:t>市长/主管副市长，分管农业农村及市场监督管理局；职责：统筹全市资源调配，协调跨部门政策制定。</w:t>
      </w:r>
    </w:p>
    <w:p w14:paraId="3D0C48F5">
      <w:pPr>
        <w:pStyle w:val="26"/>
      </w:pPr>
      <w:r>
        <w:rPr>
          <w:rFonts w:hint="eastAsia"/>
        </w:rPr>
        <w:t>副组长</w:t>
      </w:r>
    </w:p>
    <w:p w14:paraId="1B57AC7B">
      <w:pPr>
        <w:pStyle w:val="10"/>
      </w:pPr>
      <w:r>
        <w:rPr>
          <w:rFonts w:hint="eastAsia"/>
        </w:rPr>
        <w:t xml:space="preserve">农业农村局局长/主管副局长；职责：制定技术标准体系，监督生产全流程合规性，管理专项经费千塘稻种植和授权工作 </w:t>
      </w:r>
    </w:p>
    <w:p w14:paraId="0D80BD7C">
      <w:pPr>
        <w:pStyle w:val="26"/>
      </w:pPr>
      <w:r>
        <w:rPr>
          <w:rFonts w:hint="eastAsia"/>
        </w:rPr>
        <w:t>副组长</w:t>
      </w:r>
    </w:p>
    <w:p w14:paraId="1EF1E683">
      <w:pPr>
        <w:pStyle w:val="10"/>
      </w:pPr>
      <w:r>
        <w:rPr>
          <w:rFonts w:hint="eastAsia"/>
        </w:rPr>
        <w:t xml:space="preserve">市市场监管局局长/分管副局长；职责：产品抽检、商标使用监管，处理消费者投诉 </w:t>
      </w:r>
    </w:p>
    <w:p w14:paraId="4124E65D">
      <w:pPr>
        <w:pStyle w:val="26"/>
      </w:pPr>
      <w:r>
        <w:rPr>
          <w:rFonts w:hint="eastAsia"/>
        </w:rPr>
        <w:t>成员单位</w:t>
      </w:r>
    </w:p>
    <w:p w14:paraId="3FA64F28">
      <w:pPr>
        <w:pStyle w:val="10"/>
      </w:pPr>
      <w:r>
        <w:rPr>
          <w:rFonts w:hint="eastAsia"/>
        </w:rPr>
        <w:t>企业主体：负责人；职责：油橄榄种植、加工、销售</w:t>
      </w:r>
    </w:p>
    <w:p w14:paraId="6A379569">
      <w:pPr>
        <w:pStyle w:val="10"/>
      </w:pPr>
      <w:r>
        <w:rPr>
          <w:rFonts w:hint="eastAsia"/>
        </w:rPr>
        <w:t>属地乡镇政府：各乡镇镇长；职责：组织农户签约，落实属地生产管理责任</w:t>
      </w:r>
    </w:p>
    <w:p w14:paraId="716BBBDA">
      <w:pPr>
        <w:pStyle w:val="24"/>
      </w:pPr>
      <w:bookmarkStart w:id="75" w:name="_Toc201501819"/>
      <w:bookmarkStart w:id="76" w:name="_Toc10685"/>
      <w:r>
        <w:t>技术团队</w:t>
      </w:r>
      <w:bookmarkEnd w:id="75"/>
      <w:bookmarkEnd w:id="76"/>
    </w:p>
    <w:p w14:paraId="4D128AD0">
      <w:pPr>
        <w:pStyle w:val="10"/>
      </w:pPr>
      <w:r>
        <w:rPr>
          <w:rFonts w:hint="eastAsia"/>
        </w:rPr>
        <w:t>由油橄榄案例负责人、土壤改良专家、品种选育专家、植物保护专家、农业气象专家、智慧农业专家、品牌建设顾问等各行业专家组成。</w:t>
      </w:r>
    </w:p>
    <w:p w14:paraId="5B6427B3">
      <w:pPr>
        <w:pStyle w:val="26"/>
      </w:pPr>
      <w:r>
        <w:rPr>
          <w:rFonts w:hint="eastAsia"/>
        </w:rPr>
        <w:t>首席专家</w:t>
      </w:r>
    </w:p>
    <w:p w14:paraId="2C53EB93">
      <w:pPr>
        <w:pStyle w:val="10"/>
        <w:rPr>
          <w:rFonts w:hint="eastAsia" w:eastAsia="宋体"/>
          <w:lang w:eastAsia="zh-CN"/>
        </w:rPr>
      </w:pPr>
      <w:r>
        <w:rPr>
          <w:rFonts w:hint="eastAsia"/>
        </w:rPr>
        <w:t>油橄榄优质地理产品案例首席，中国地理学会/中国科学院地理科学与资源研究所研究员，博士生导师；职责：制定核心技术路线，对接国家科研项目、政策方针</w:t>
      </w:r>
      <w:r>
        <w:rPr>
          <w:rFonts w:hint="eastAsia"/>
          <w:lang w:eastAsia="zh-CN"/>
        </w:rPr>
        <w:t>。</w:t>
      </w:r>
    </w:p>
    <w:p w14:paraId="2A812F4F">
      <w:pPr>
        <w:pStyle w:val="26"/>
      </w:pPr>
      <w:r>
        <w:rPr>
          <w:rFonts w:hint="eastAsia"/>
        </w:rPr>
        <w:t>生产指导组</w:t>
      </w:r>
    </w:p>
    <w:p w14:paraId="3900B96C">
      <w:pPr>
        <w:pStyle w:val="10"/>
      </w:pPr>
      <w:r>
        <w:rPr>
          <w:rFonts w:hint="eastAsia"/>
        </w:rPr>
        <w:t>职责：分片包干指导农户；</w:t>
      </w:r>
    </w:p>
    <w:p w14:paraId="6BD64843">
      <w:pPr>
        <w:pStyle w:val="10"/>
      </w:pPr>
      <w:r>
        <w:rPr>
          <w:rFonts w:hint="eastAsia"/>
        </w:rPr>
        <w:t xml:space="preserve">技能要求：了解矢量地块空间分布，掌握GIS地块管理系统  </w:t>
      </w:r>
    </w:p>
    <w:p w14:paraId="169F1EFD">
      <w:pPr>
        <w:pStyle w:val="26"/>
      </w:pPr>
      <w:r>
        <w:rPr>
          <w:rFonts w:hint="eastAsia"/>
        </w:rPr>
        <w:t>加工技术组</w:t>
      </w:r>
    </w:p>
    <w:p w14:paraId="71749212">
      <w:pPr>
        <w:pStyle w:val="10"/>
      </w:pPr>
      <w:r>
        <w:rPr>
          <w:rFonts w:hint="eastAsia"/>
        </w:rPr>
        <w:t>职责：熟悉农产品的储存、包装、加工等一系列环节</w:t>
      </w:r>
    </w:p>
    <w:p w14:paraId="2014A54B">
      <w:pPr>
        <w:pStyle w:val="10"/>
      </w:pPr>
      <w:r>
        <w:rPr>
          <w:rFonts w:hint="eastAsia"/>
        </w:rPr>
        <w:t xml:space="preserve">资质要求：食品工程师（中级以上职称）  </w:t>
      </w:r>
    </w:p>
    <w:p w14:paraId="5315DF53">
      <w:pPr>
        <w:pStyle w:val="26"/>
      </w:pPr>
      <w:r>
        <w:rPr>
          <w:rFonts w:hint="eastAsia"/>
        </w:rPr>
        <w:t>质量监控组</w:t>
      </w:r>
    </w:p>
    <w:p w14:paraId="09254C05">
      <w:pPr>
        <w:pStyle w:val="10"/>
      </w:pPr>
      <w:r>
        <w:rPr>
          <w:rFonts w:hint="eastAsia"/>
        </w:rPr>
        <w:t xml:space="preserve">职责：实验室检测（农残、重金属、营养成分）  </w:t>
      </w:r>
    </w:p>
    <w:p w14:paraId="76E21FA0">
      <w:pPr>
        <w:pStyle w:val="10"/>
      </w:pPr>
      <w:r>
        <w:rPr>
          <w:rFonts w:hint="eastAsia"/>
        </w:rPr>
        <w:t>设备配置：液相色谱仪</w:t>
      </w:r>
    </w:p>
    <w:p w14:paraId="5BE425B9">
      <w:pPr>
        <w:pStyle w:val="24"/>
      </w:pPr>
      <w:bookmarkStart w:id="77" w:name="_Toc19539"/>
      <w:bookmarkStart w:id="78" w:name="_Toc201501820"/>
      <w:r>
        <w:rPr>
          <w:rFonts w:hint="eastAsia"/>
        </w:rPr>
        <w:t>种植备案</w:t>
      </w:r>
      <w:bookmarkEnd w:id="77"/>
      <w:bookmarkEnd w:id="78"/>
    </w:p>
    <w:p w14:paraId="5A8819EC">
      <w:pPr>
        <w:pStyle w:val="26"/>
      </w:pPr>
      <w:r>
        <w:t>年度种植计划报备</w:t>
      </w:r>
    </w:p>
    <w:p w14:paraId="32576C45">
      <w:pPr>
        <w:pStyle w:val="10"/>
      </w:pPr>
      <w:r>
        <w:rPr>
          <w:rFonts w:hint="eastAsia"/>
        </w:rPr>
        <w:t>企业每年</w:t>
      </w:r>
      <w:r>
        <w:t>3月1日前需提交种植面积、品种分布、地块位置等数据至</w:t>
      </w:r>
      <w:r>
        <w:rPr>
          <w:rFonts w:hint="eastAsia"/>
        </w:rPr>
        <w:t>农业农村局进行备案</w:t>
      </w:r>
      <w:r>
        <w:t>，数据需与数字化空间图匹配，偏差率≤1%</w:t>
      </w:r>
      <w:r>
        <w:rPr>
          <w:rFonts w:hint="eastAsia"/>
        </w:rPr>
        <w:t>。</w:t>
      </w:r>
    </w:p>
    <w:p w14:paraId="5EE15E5E">
      <w:pPr>
        <w:pStyle w:val="26"/>
      </w:pPr>
      <w:r>
        <w:t>数据审核与备案公示</w:t>
      </w:r>
    </w:p>
    <w:p w14:paraId="06EE2B0C">
      <w:pPr>
        <w:pStyle w:val="10"/>
      </w:pPr>
      <w:r>
        <w:rPr>
          <w:rFonts w:hint="eastAsia"/>
        </w:rPr>
        <w:t>监管部门通过</w:t>
      </w:r>
      <w:r>
        <w:t>GIS系统核实地块边界与种植信息，审核通过后颁发电子备案证书，并在溯源平台公示产区地图及企业资质</w:t>
      </w:r>
      <w:r>
        <w:rPr>
          <w:rFonts w:hint="eastAsia"/>
        </w:rPr>
        <w:t>。</w:t>
      </w:r>
    </w:p>
    <w:p w14:paraId="79F6183D">
      <w:pPr>
        <w:pStyle w:val="26"/>
      </w:pPr>
      <w:r>
        <w:rPr>
          <w:rFonts w:hint="eastAsia"/>
        </w:rPr>
        <w:t>加工备案</w:t>
      </w:r>
    </w:p>
    <w:p w14:paraId="710CD4CB">
      <w:pPr>
        <w:pStyle w:val="10"/>
      </w:pPr>
      <w:r>
        <w:rPr>
          <w:rFonts w:hint="eastAsia"/>
        </w:rPr>
        <w:t>具有资质的企业需要向郧阳市市场监督管理局提交营业执照、卫生许可证、质量管理手册等相关文件进行备案，方可对“郧阳油橄榄”进行加工生产。</w:t>
      </w:r>
    </w:p>
    <w:p w14:paraId="144C5AAC">
      <w:pPr>
        <w:pStyle w:val="26"/>
      </w:pPr>
      <w:r>
        <w:t>违规退出机制</w:t>
      </w:r>
    </w:p>
    <w:p w14:paraId="503F33C1">
      <w:pPr>
        <w:pStyle w:val="10"/>
      </w:pPr>
      <w:r>
        <w:t>对</w:t>
      </w:r>
      <w:r>
        <w:rPr>
          <w:rFonts w:hint="eastAsia"/>
        </w:rPr>
        <w:t>未按照“郧阳油橄榄”加工标准的、</w:t>
      </w:r>
      <w:r>
        <w:t>超范围种植</w:t>
      </w:r>
      <w:r>
        <w:rPr>
          <w:rFonts w:hint="eastAsia"/>
        </w:rPr>
        <w:t>的</w:t>
      </w:r>
      <w:r>
        <w:t>、使用非标投入品的企业，取消授权资格并摘牌，相关信息纳入信用黑名单，公示期≥2年</w:t>
      </w:r>
      <w:r>
        <w:rPr>
          <w:rFonts w:hint="eastAsia"/>
        </w:rPr>
        <w:t>。</w:t>
      </w:r>
    </w:p>
    <w:p w14:paraId="76AC9B66">
      <w:pPr>
        <w:pStyle w:val="10"/>
        <w:ind w:firstLine="0" w:firstLineChars="0"/>
      </w:pPr>
    </w:p>
    <w:p w14:paraId="3AB1ACEC">
      <w:pPr>
        <w:widowControl/>
        <w:adjustRightInd/>
        <w:spacing w:line="240" w:lineRule="auto"/>
        <w:jc w:val="left"/>
      </w:pPr>
      <w:r>
        <w:br w:type="page"/>
      </w:r>
    </w:p>
    <w:p w14:paraId="4B4BA8B9">
      <w:pPr>
        <w:pStyle w:val="30"/>
        <w:spacing w:before="156" w:after="156"/>
      </w:pPr>
      <w:bookmarkStart w:id="79" w:name="_Toc26690"/>
      <w:bookmarkStart w:id="80" w:name="_Toc202256728"/>
      <w:r>
        <w:rPr>
          <w:rFonts w:hint="eastAsia"/>
        </w:rPr>
        <w:t>附录 A</w:t>
      </w:r>
      <w:bookmarkEnd w:id="79"/>
      <w:bookmarkEnd w:id="80"/>
    </w:p>
    <w:p w14:paraId="309492A8">
      <w:pPr>
        <w:pStyle w:val="30"/>
        <w:spacing w:before="156" w:after="156"/>
        <w:jc w:val="left"/>
        <w:outlineLvl w:val="0"/>
      </w:pPr>
      <w:bookmarkStart w:id="81" w:name="_Toc202256729"/>
      <w:bookmarkStart w:id="82" w:name="_Toc2126"/>
      <w:r>
        <w:rPr>
          <w:rFonts w:hint="eastAsia"/>
        </w:rPr>
        <w:t>（规范性附录）</w:t>
      </w:r>
      <w:bookmarkEnd w:id="81"/>
      <w:bookmarkEnd w:id="82"/>
    </w:p>
    <w:p w14:paraId="4ECAFB84">
      <w:pPr>
        <w:pStyle w:val="10"/>
      </w:pPr>
      <w:r>
        <w:rPr>
          <w:rFonts w:hint="eastAsia"/>
        </w:rPr>
        <w:t>地标生境</w:t>
      </w:r>
      <w:r>
        <w:rPr>
          <w:rFonts w:hint="eastAsia"/>
          <w:lang w:val="en-US" w:eastAsia="zh-CN"/>
        </w:rPr>
        <w:t xml:space="preserve"> </w:t>
      </w:r>
      <w:r>
        <w:rPr>
          <w:rFonts w:hint="eastAsia"/>
        </w:rPr>
        <w:t>郧阳油橄榄</w:t>
      </w:r>
      <w:r>
        <w:rPr>
          <w:rFonts w:hint="eastAsia"/>
          <w:lang w:val="en-US" w:eastAsia="zh-CN"/>
        </w:rPr>
        <w:t>北亚热带低山丘陵案例</w:t>
      </w:r>
      <w:r>
        <w:rPr>
          <w:rFonts w:hint="eastAsia"/>
        </w:rPr>
        <w:t>保护范围见图A.1。</w:t>
      </w:r>
    </w:p>
    <w:p w14:paraId="35202454">
      <w:pPr>
        <w:spacing w:line="360" w:lineRule="auto"/>
        <w:jc w:val="center"/>
        <w:rPr>
          <w:rFonts w:ascii="Times New Roman" w:hAnsi="Times New Roman" w:cs="Times New Roman"/>
        </w:rPr>
      </w:pPr>
      <w:r>
        <w:rPr>
          <w:rFonts w:ascii="Times New Roman" w:hAnsi="Times New Roman" w:cs="Times New Roman"/>
        </w:rPr>
        <w:drawing>
          <wp:inline distT="0" distB="0" distL="0" distR="0">
            <wp:extent cx="5143500" cy="1883410"/>
            <wp:effectExtent l="0" t="0" r="0" b="2540"/>
            <wp:docPr id="9" name="图片 9" descr="G:\FIG.1-ch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G:\FIG.1-chn.tif"/>
                    <pic:cNvPicPr>
                      <a:picLocks noChangeAspect="1" noChangeArrowheads="1"/>
                    </pic:cNvPicPr>
                  </pic:nvPicPr>
                  <pic:blipFill>
                    <a:blip r:embed="rId9" cstate="print">
                      <a:extLst>
                        <a:ext uri="{28A0092B-C50C-407E-A947-70E740481C1C}">
                          <a14:useLocalDpi xmlns:a14="http://schemas.microsoft.com/office/drawing/2010/main" val="0"/>
                        </a:ext>
                      </a:extLst>
                    </a:blip>
                    <a:srcRect l="1955" t="1738" r="640" b="50691"/>
                    <a:stretch>
                      <a:fillRect/>
                    </a:stretch>
                  </pic:blipFill>
                  <pic:spPr>
                    <a:xfrm>
                      <a:off x="0" y="0"/>
                      <a:ext cx="5163474" cy="1891335"/>
                    </a:xfrm>
                    <a:prstGeom prst="rect">
                      <a:avLst/>
                    </a:prstGeom>
                    <a:noFill/>
                    <a:ln>
                      <a:noFill/>
                    </a:ln>
                  </pic:spPr>
                </pic:pic>
              </a:graphicData>
            </a:graphic>
          </wp:inline>
        </w:drawing>
      </w:r>
    </w:p>
    <w:p w14:paraId="2D1E8302">
      <w:pPr>
        <w:spacing w:line="360" w:lineRule="auto"/>
        <w:jc w:val="center"/>
        <w:outlineLvl w:val="0"/>
        <w:rPr>
          <w:rFonts w:ascii="Times New Roman" w:hAnsi="Times New Roman" w:cs="Times New Roman"/>
          <w:b/>
        </w:rPr>
      </w:pPr>
      <w:bookmarkStart w:id="83" w:name="_Toc4051"/>
      <w:r>
        <w:rPr>
          <w:rFonts w:hint="eastAsia" w:ascii="黑体" w:hAnsi="黑体" w:eastAsia="黑体" w:cs="黑体"/>
          <w:b w:val="0"/>
          <w:bCs/>
        </w:rPr>
        <w:t>图</w:t>
      </w:r>
      <w:r>
        <w:rPr>
          <w:rFonts w:hint="eastAsia" w:ascii="黑体" w:hAnsi="黑体" w:eastAsia="黑体" w:cs="黑体"/>
          <w:b w:val="0"/>
          <w:bCs/>
          <w:lang w:val="en-US" w:eastAsia="zh-CN"/>
        </w:rPr>
        <w:t>A.</w:t>
      </w:r>
      <w:r>
        <w:rPr>
          <w:rFonts w:hint="eastAsia" w:ascii="黑体" w:hAnsi="黑体" w:eastAsia="黑体" w:cs="黑体"/>
          <w:b w:val="0"/>
          <w:bCs/>
        </w:rPr>
        <w:t>1 郧阳油橄榄北亚热带低山丘陵案例保护范围</w:t>
      </w:r>
      <w:bookmarkEnd w:id="83"/>
    </w:p>
    <w:p w14:paraId="15D9457E">
      <w:pPr>
        <w:jc w:val="left"/>
      </w:pPr>
    </w:p>
    <w:sectPr>
      <w:footerReference r:id="rId7" w:type="default"/>
      <w:pgSz w:w="11906" w:h="16838"/>
      <w:pgMar w:top="1440" w:right="1800" w:bottom="1440" w:left="1800"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16DCD4">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515242">
                          <w:pPr>
                            <w:pStyle w:val="3"/>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0515242">
                    <w:pPr>
                      <w:pStyle w:val="3"/>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52831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DD5C20">
                          <w:pPr>
                            <w:pStyle w:val="3"/>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FDD5C20">
                    <w:pPr>
                      <w:pStyle w:val="3"/>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20"/>
      </w:pPr>
      <w:r>
        <w:separator/>
      </w:r>
    </w:p>
  </w:footnote>
  <w:footnote w:type="continuationSeparator" w:id="1">
    <w:p>
      <w:pPr>
        <w:spacing w:line="24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6F600">
    <w:pPr>
      <w:pStyle w:val="4"/>
      <w:keepNext w:val="0"/>
      <w:keepLines w:val="0"/>
      <w:pageBreakBefore w:val="0"/>
      <w:widowControl w:val="0"/>
      <w:pBdr>
        <w:bottom w:val="none" w:color="auto" w:sz="0" w:space="1"/>
      </w:pBdr>
      <w:kinsoku/>
      <w:wordWrap/>
      <w:overflowPunct/>
      <w:topLinePunct w:val="0"/>
      <w:bidi w:val="0"/>
      <w:adjustRightInd w:val="0"/>
      <w:snapToGrid w:val="0"/>
      <w:ind w:firstLine="0" w:firstLineChars="0"/>
      <w:jc w:val="right"/>
      <w:textAlignment w:val="auto"/>
      <w:rPr>
        <w:rFonts w:hint="default" w:ascii="Times New Roman" w:hAnsi="Times New Roman" w:eastAsia="黑体" w:cs="Times New Roman"/>
        <w:b w:val="0"/>
        <w:bCs w:val="0"/>
        <w:sz w:val="18"/>
        <w:lang w:val="en-US" w:eastAsia="zh-CN"/>
      </w:rPr>
    </w:pPr>
  </w:p>
  <w:p w14:paraId="686B34D1">
    <w:pPr>
      <w:pStyle w:val="4"/>
      <w:keepNext w:val="0"/>
      <w:keepLines w:val="0"/>
      <w:pageBreakBefore w:val="0"/>
      <w:widowControl w:val="0"/>
      <w:pBdr>
        <w:bottom w:val="none" w:color="auto" w:sz="0" w:space="1"/>
      </w:pBdr>
      <w:kinsoku/>
      <w:wordWrap/>
      <w:overflowPunct/>
      <w:topLinePunct w:val="0"/>
      <w:bidi w:val="0"/>
      <w:adjustRightInd w:val="0"/>
      <w:snapToGrid w:val="0"/>
      <w:ind w:firstLine="0" w:firstLineChars="0"/>
      <w:jc w:val="right"/>
      <w:textAlignment w:val="auto"/>
      <w:rPr>
        <w:rFonts w:hint="default" w:ascii="Times New Roman" w:hAnsi="Times New Roman" w:eastAsia="黑体" w:cs="Times New Roman"/>
        <w:b w:val="0"/>
        <w:bCs w:val="0"/>
        <w:sz w:val="18"/>
        <w:lang w:val="en-US" w:eastAsia="zh-CN"/>
      </w:rPr>
    </w:pPr>
    <w:r>
      <w:rPr>
        <w:rFonts w:hint="default" w:ascii="Times New Roman" w:hAnsi="Times New Roman" w:eastAsia="黑体" w:cs="Times New Roman"/>
        <w:b w:val="0"/>
        <w:bCs w:val="0"/>
        <w:sz w:val="18"/>
        <w:lang w:val="en-US" w:eastAsia="zh-CN"/>
      </w:rPr>
      <w:t>T/ZGDLXH JH-008-2025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CEA2025"/>
    <w:multiLevelType w:val="multilevel"/>
    <w:tmpl w:val="6CEA2025"/>
    <w:lvl w:ilvl="0" w:tentative="0">
      <w:start w:val="1"/>
      <w:numFmt w:val="none"/>
      <w:pStyle w:val="22"/>
      <w:suff w:val="nothing"/>
      <w:lvlText w:val="%1"/>
      <w:lvlJc w:val="left"/>
      <w:rPr>
        <w:rFonts w:hint="default" w:ascii="Times New Roman" w:hAnsi="Times New Roman" w:cs="Times New Roman"/>
        <w:b/>
        <w:bCs/>
        <w:i w:val="0"/>
        <w:iCs w:val="0"/>
        <w:sz w:val="21"/>
        <w:szCs w:val="21"/>
      </w:rPr>
    </w:lvl>
    <w:lvl w:ilvl="1" w:tentative="0">
      <w:start w:val="1"/>
      <w:numFmt w:val="decimal"/>
      <w:pStyle w:val="16"/>
      <w:suff w:val="nothing"/>
      <w:lvlText w:val="%1%2　"/>
      <w:lvlJc w:val="left"/>
      <w:rPr>
        <w:rFonts w:hint="eastAsia" w:ascii="黑体" w:hAnsi="Times New Roman" w:eastAsia="黑体"/>
        <w:b w:val="0"/>
        <w:bCs w:val="0"/>
        <w:i w:val="0"/>
        <w:iCs w:val="0"/>
        <w:sz w:val="21"/>
        <w:szCs w:val="21"/>
      </w:rPr>
    </w:lvl>
    <w:lvl w:ilvl="2" w:tentative="0">
      <w:start w:val="1"/>
      <w:numFmt w:val="decimal"/>
      <w:pStyle w:val="21"/>
      <w:suff w:val="nothing"/>
      <w:lvlText w:val="%1%2.%3　"/>
      <w:lvlJc w:val="left"/>
      <w:rPr>
        <w:rFonts w:hint="eastAsia" w:ascii="黑体" w:hAnsi="Times New Roman" w:eastAsia="黑体"/>
        <w:b w:val="0"/>
        <w:bCs w:val="0"/>
        <w:i w:val="0"/>
        <w:iCs w:val="0"/>
        <w:sz w:val="21"/>
        <w:szCs w:val="21"/>
      </w:rPr>
    </w:lvl>
    <w:lvl w:ilvl="3" w:tentative="0">
      <w:start w:val="1"/>
      <w:numFmt w:val="decimal"/>
      <w:pStyle w:val="17"/>
      <w:suff w:val="nothing"/>
      <w:lvlText w:val="%1%2.%3.%4　"/>
      <w:lvlJc w:val="left"/>
      <w:rPr>
        <w:rFonts w:hint="eastAsia" w:ascii="黑体" w:hAnsi="Times New Roman" w:eastAsia="黑体"/>
        <w:b w:val="0"/>
        <w:bCs w:val="0"/>
        <w:i w:val="0"/>
        <w:iCs w:val="0"/>
        <w:sz w:val="21"/>
        <w:szCs w:val="21"/>
      </w:rPr>
    </w:lvl>
    <w:lvl w:ilvl="4" w:tentative="0">
      <w:start w:val="1"/>
      <w:numFmt w:val="decimal"/>
      <w:pStyle w:val="18"/>
      <w:suff w:val="nothing"/>
      <w:lvlText w:val="%1%2.%3.%4.%5　"/>
      <w:lvlJc w:val="left"/>
      <w:rPr>
        <w:rFonts w:hint="eastAsia" w:ascii="黑体" w:hAnsi="Times New Roman" w:eastAsia="黑体"/>
        <w:b w:val="0"/>
        <w:bCs w:val="0"/>
        <w:i w:val="0"/>
        <w:iCs w:val="0"/>
        <w:sz w:val="21"/>
        <w:szCs w:val="21"/>
      </w:rPr>
    </w:lvl>
    <w:lvl w:ilvl="5" w:tentative="0">
      <w:start w:val="1"/>
      <w:numFmt w:val="decimal"/>
      <w:pStyle w:val="19"/>
      <w:suff w:val="nothing"/>
      <w:lvlText w:val="%1%2.%3.%4.%5.%6　"/>
      <w:lvlJc w:val="left"/>
      <w:rPr>
        <w:rFonts w:hint="eastAsia" w:ascii="黑体" w:hAnsi="Times New Roman" w:eastAsia="黑体"/>
        <w:b w:val="0"/>
        <w:bCs w:val="0"/>
        <w:i w:val="0"/>
        <w:iCs w:val="0"/>
        <w:sz w:val="21"/>
        <w:szCs w:val="21"/>
      </w:rPr>
    </w:lvl>
    <w:lvl w:ilvl="6" w:tentative="0">
      <w:start w:val="1"/>
      <w:numFmt w:val="decimal"/>
      <w:pStyle w:val="20"/>
      <w:suff w:val="nothing"/>
      <w:lvlText w:val="%1%2.%3.%4.%5.%6.%7　"/>
      <w:lvlJc w:val="left"/>
      <w:rPr>
        <w:rFonts w:hint="eastAsia" w:ascii="黑体" w:hAnsi="Times New Roman" w:eastAsia="黑体"/>
        <w:b w:val="0"/>
        <w:bCs w:val="0"/>
        <w:i w:val="0"/>
        <w:iCs w:val="0"/>
        <w:sz w:val="21"/>
        <w:szCs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3FF7"/>
    <w:rsid w:val="000371CE"/>
    <w:rsid w:val="00095D59"/>
    <w:rsid w:val="00165D30"/>
    <w:rsid w:val="001A5976"/>
    <w:rsid w:val="002852A1"/>
    <w:rsid w:val="00286783"/>
    <w:rsid w:val="002F07B7"/>
    <w:rsid w:val="002F68C6"/>
    <w:rsid w:val="00385FC1"/>
    <w:rsid w:val="0043361F"/>
    <w:rsid w:val="004C1CDB"/>
    <w:rsid w:val="005E5FF2"/>
    <w:rsid w:val="00656387"/>
    <w:rsid w:val="006F5FC2"/>
    <w:rsid w:val="00813936"/>
    <w:rsid w:val="00813FF7"/>
    <w:rsid w:val="008F1A0B"/>
    <w:rsid w:val="00A22D32"/>
    <w:rsid w:val="00A42651"/>
    <w:rsid w:val="00A5723F"/>
    <w:rsid w:val="00BC4C12"/>
    <w:rsid w:val="00C1015C"/>
    <w:rsid w:val="00D76AAC"/>
    <w:rsid w:val="00DF1105"/>
    <w:rsid w:val="00E70B2F"/>
    <w:rsid w:val="00FB0042"/>
    <w:rsid w:val="00FF2730"/>
    <w:rsid w:val="096E09A6"/>
    <w:rsid w:val="26F42455"/>
    <w:rsid w:val="27F37477"/>
    <w:rsid w:val="2C2C2F57"/>
    <w:rsid w:val="3A103EB8"/>
    <w:rsid w:val="405327A7"/>
    <w:rsid w:val="4B1B136B"/>
    <w:rsid w:val="4EAA7467"/>
    <w:rsid w:val="55222FC6"/>
    <w:rsid w:val="68D91796"/>
    <w:rsid w:val="77B52F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adjustRightInd w:val="0"/>
      <w:spacing w:line="400" w:lineRule="exact"/>
      <w:ind w:firstLine="480" w:firstLineChars="200"/>
      <w:jc w:val="both"/>
    </w:pPr>
    <w:rPr>
      <w:rFonts w:ascii="Calibri" w:hAnsi="Calibri" w:eastAsia="宋体" w:cs="Calibri"/>
      <w:kern w:val="2"/>
      <w:sz w:val="21"/>
      <w:szCs w:val="21"/>
      <w:lang w:val="en-US" w:eastAsia="zh-CN" w:bidi="ar-SA"/>
    </w:rPr>
  </w:style>
  <w:style w:type="paragraph" w:styleId="2">
    <w:name w:val="heading 1"/>
    <w:basedOn w:val="1"/>
    <w:next w:val="1"/>
    <w:link w:val="32"/>
    <w:qFormat/>
    <w:uiPriority w:val="9"/>
    <w:pPr>
      <w:keepNext/>
      <w:keepLines/>
      <w:spacing w:before="240" w:beforeLines="0" w:beforeAutospacing="0" w:after="240" w:afterLines="0" w:afterAutospacing="0" w:line="240" w:lineRule="auto"/>
      <w:jc w:val="center"/>
      <w:outlineLvl w:val="0"/>
    </w:pPr>
    <w:rPr>
      <w:rFonts w:eastAsia="黑体"/>
      <w:b/>
      <w:kern w:val="44"/>
      <w:sz w:val="32"/>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29"/>
    <w:unhideWhenUsed/>
    <w:qFormat/>
    <w:uiPriority w:val="99"/>
    <w:pPr>
      <w:tabs>
        <w:tab w:val="center" w:pos="4153"/>
        <w:tab w:val="right" w:pos="8306"/>
      </w:tabs>
      <w:snapToGrid w:val="0"/>
      <w:spacing w:line="240" w:lineRule="atLeast"/>
      <w:jc w:val="left"/>
    </w:pPr>
    <w:rPr>
      <w:sz w:val="18"/>
      <w:szCs w:val="18"/>
    </w:rPr>
  </w:style>
  <w:style w:type="paragraph" w:styleId="4">
    <w:name w:val="header"/>
    <w:basedOn w:val="1"/>
    <w:link w:val="28"/>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5">
    <w:name w:val="toc 1"/>
    <w:basedOn w:val="1"/>
    <w:next w:val="1"/>
    <w:semiHidden/>
    <w:unhideWhenUsed/>
    <w:qFormat/>
    <w:uiPriority w:val="39"/>
  </w:style>
  <w:style w:type="paragraph" w:styleId="6">
    <w:name w:val="toc 2"/>
    <w:basedOn w:val="1"/>
    <w:next w:val="1"/>
    <w:semiHidden/>
    <w:unhideWhenUsed/>
    <w:qFormat/>
    <w:uiPriority w:val="39"/>
    <w:pPr>
      <w:ind w:left="420" w:leftChars="200"/>
    </w:pPr>
  </w:style>
  <w:style w:type="paragraph" w:styleId="7">
    <w:name w:val="Title"/>
    <w:basedOn w:val="1"/>
    <w:next w:val="1"/>
    <w:link w:val="13"/>
    <w:qFormat/>
    <w:uiPriority w:val="10"/>
    <w:pPr>
      <w:spacing w:before="240" w:after="60"/>
      <w:jc w:val="center"/>
      <w:outlineLvl w:val="0"/>
    </w:pPr>
    <w:rPr>
      <w:rFonts w:asciiTheme="majorHAnsi" w:hAnsiTheme="majorHAnsi" w:eastAsiaTheme="majorEastAsia" w:cstheme="majorBidi"/>
      <w:b/>
      <w:bCs/>
      <w:sz w:val="32"/>
      <w:szCs w:val="32"/>
    </w:rPr>
  </w:style>
  <w:style w:type="paragraph" w:customStyle="1" w:styleId="10">
    <w:name w:val="正文内容"/>
    <w:link w:val="14"/>
    <w:autoRedefine/>
    <w:qFormat/>
    <w:uiPriority w:val="0"/>
    <w:pPr>
      <w:spacing w:line="360" w:lineRule="auto"/>
      <w:ind w:firstLine="420" w:firstLineChars="200"/>
      <w:jc w:val="both"/>
    </w:pPr>
    <w:rPr>
      <w:rFonts w:ascii="Times New Roman" w:hAnsi="Times New Roman" w:eastAsia="宋体" w:cs="Calibri"/>
      <w:kern w:val="2"/>
      <w:sz w:val="21"/>
      <w:szCs w:val="21"/>
      <w:lang w:val="en-US" w:eastAsia="zh-CN" w:bidi="ar-SA"/>
    </w:rPr>
  </w:style>
  <w:style w:type="paragraph" w:customStyle="1" w:styleId="11">
    <w:name w:val="目次、前言、引言"/>
    <w:basedOn w:val="7"/>
    <w:next w:val="10"/>
    <w:link w:val="12"/>
    <w:autoRedefine/>
    <w:qFormat/>
    <w:uiPriority w:val="0"/>
    <w:pPr>
      <w:spacing w:before="851" w:after="680" w:line="240" w:lineRule="auto"/>
    </w:pPr>
    <w:rPr>
      <w:rFonts w:eastAsia="黑体"/>
      <w:b w:val="0"/>
    </w:rPr>
  </w:style>
  <w:style w:type="character" w:customStyle="1" w:styleId="12">
    <w:name w:val="目次、前言、引言 字符"/>
    <w:basedOn w:val="13"/>
    <w:link w:val="11"/>
    <w:autoRedefine/>
    <w:qFormat/>
    <w:uiPriority w:val="0"/>
    <w:rPr>
      <w:rFonts w:eastAsia="黑体" w:asciiTheme="majorHAnsi" w:hAnsiTheme="majorHAnsi" w:cstheme="majorBidi"/>
      <w:b w:val="0"/>
      <w:sz w:val="32"/>
      <w:szCs w:val="32"/>
    </w:rPr>
  </w:style>
  <w:style w:type="character" w:customStyle="1" w:styleId="13">
    <w:name w:val="标题 字符"/>
    <w:basedOn w:val="9"/>
    <w:link w:val="7"/>
    <w:qFormat/>
    <w:uiPriority w:val="10"/>
    <w:rPr>
      <w:rFonts w:asciiTheme="majorHAnsi" w:hAnsiTheme="majorHAnsi" w:eastAsiaTheme="majorEastAsia" w:cstheme="majorBidi"/>
      <w:b/>
      <w:bCs/>
      <w:sz w:val="32"/>
      <w:szCs w:val="32"/>
    </w:rPr>
  </w:style>
  <w:style w:type="character" w:customStyle="1" w:styleId="14">
    <w:name w:val="正文内容 字符"/>
    <w:basedOn w:val="9"/>
    <w:link w:val="10"/>
    <w:autoRedefine/>
    <w:qFormat/>
    <w:uiPriority w:val="0"/>
    <w:rPr>
      <w:rFonts w:ascii="Times New Roman" w:hAnsi="Times New Roman" w:eastAsia="宋体" w:cs="Calibri"/>
      <w:szCs w:val="21"/>
    </w:rPr>
  </w:style>
  <w:style w:type="paragraph" w:customStyle="1" w:styleId="15">
    <w:name w:val="章标题"/>
    <w:basedOn w:val="16"/>
    <w:next w:val="10"/>
    <w:link w:val="23"/>
    <w:autoRedefine/>
    <w:qFormat/>
    <w:uiPriority w:val="0"/>
    <w:pPr>
      <w:spacing w:before="312" w:beforeLines="100" w:after="312" w:afterLines="100"/>
    </w:pPr>
    <w:rPr>
      <w:rFonts w:ascii="Times New Roman"/>
    </w:rPr>
  </w:style>
  <w:style w:type="paragraph" w:customStyle="1" w:styleId="16">
    <w:name w:val="1章标题"/>
    <w:next w:val="1"/>
    <w:autoRedefine/>
    <w:qFormat/>
    <w:uiPriority w:val="99"/>
    <w:pPr>
      <w:numPr>
        <w:ilvl w:val="1"/>
        <w:numId w:val="1"/>
      </w:numPr>
      <w:spacing w:beforeLines="50" w:afterLines="50"/>
      <w:jc w:val="both"/>
      <w:outlineLvl w:val="0"/>
    </w:pPr>
    <w:rPr>
      <w:rFonts w:ascii="黑体" w:hAnsi="Times New Roman" w:eastAsia="黑体" w:cs="黑体"/>
      <w:kern w:val="0"/>
      <w:sz w:val="21"/>
      <w:szCs w:val="21"/>
      <w:lang w:val="en-US" w:eastAsia="zh-CN" w:bidi="ar-SA"/>
    </w:rPr>
  </w:style>
  <w:style w:type="paragraph" w:customStyle="1" w:styleId="17">
    <w:name w:val="标准文件_二级条标题"/>
    <w:next w:val="1"/>
    <w:autoRedefine/>
    <w:qFormat/>
    <w:uiPriority w:val="99"/>
    <w:pPr>
      <w:widowControl w:val="0"/>
      <w:numPr>
        <w:ilvl w:val="3"/>
        <w:numId w:val="1"/>
      </w:numPr>
      <w:jc w:val="both"/>
      <w:outlineLvl w:val="2"/>
    </w:pPr>
    <w:rPr>
      <w:rFonts w:ascii="黑体" w:hAnsi="Times New Roman" w:eastAsia="黑体" w:cs="黑体"/>
      <w:kern w:val="0"/>
      <w:sz w:val="21"/>
      <w:szCs w:val="21"/>
      <w:lang w:val="en-US" w:eastAsia="zh-CN" w:bidi="ar-SA"/>
    </w:rPr>
  </w:style>
  <w:style w:type="paragraph" w:customStyle="1" w:styleId="18">
    <w:name w:val="标准文件_三级条标题"/>
    <w:basedOn w:val="17"/>
    <w:next w:val="1"/>
    <w:autoRedefine/>
    <w:qFormat/>
    <w:uiPriority w:val="99"/>
    <w:pPr>
      <w:widowControl/>
      <w:numPr>
        <w:ilvl w:val="4"/>
      </w:numPr>
      <w:outlineLvl w:val="3"/>
    </w:pPr>
  </w:style>
  <w:style w:type="paragraph" w:customStyle="1" w:styleId="19">
    <w:name w:val="标准文件_四级条标题"/>
    <w:next w:val="1"/>
    <w:autoRedefine/>
    <w:qFormat/>
    <w:uiPriority w:val="99"/>
    <w:pPr>
      <w:widowControl w:val="0"/>
      <w:numPr>
        <w:ilvl w:val="5"/>
        <w:numId w:val="1"/>
      </w:numPr>
      <w:jc w:val="both"/>
      <w:outlineLvl w:val="4"/>
    </w:pPr>
    <w:rPr>
      <w:rFonts w:ascii="黑体" w:hAnsi="Times New Roman" w:eastAsia="黑体" w:cs="黑体"/>
      <w:kern w:val="0"/>
      <w:sz w:val="21"/>
      <w:szCs w:val="21"/>
      <w:lang w:val="en-US" w:eastAsia="zh-CN" w:bidi="ar-SA"/>
    </w:rPr>
  </w:style>
  <w:style w:type="paragraph" w:customStyle="1" w:styleId="20">
    <w:name w:val="标准文件_五级条标题"/>
    <w:next w:val="1"/>
    <w:autoRedefine/>
    <w:qFormat/>
    <w:uiPriority w:val="99"/>
    <w:pPr>
      <w:widowControl w:val="0"/>
      <w:numPr>
        <w:ilvl w:val="6"/>
        <w:numId w:val="1"/>
      </w:numPr>
      <w:jc w:val="both"/>
      <w:outlineLvl w:val="5"/>
    </w:pPr>
    <w:rPr>
      <w:rFonts w:ascii="黑体" w:hAnsi="Times New Roman" w:eastAsia="黑体" w:cs="黑体"/>
      <w:kern w:val="0"/>
      <w:sz w:val="21"/>
      <w:szCs w:val="21"/>
      <w:lang w:val="en-US" w:eastAsia="zh-CN" w:bidi="ar-SA"/>
    </w:rPr>
  </w:style>
  <w:style w:type="paragraph" w:customStyle="1" w:styleId="21">
    <w:name w:val="标准文件_一级条标题"/>
    <w:basedOn w:val="16"/>
    <w:next w:val="1"/>
    <w:autoRedefine/>
    <w:qFormat/>
    <w:uiPriority w:val="99"/>
    <w:pPr>
      <w:numPr>
        <w:ilvl w:val="2"/>
      </w:numPr>
      <w:spacing w:beforeLines="0" w:afterLines="0"/>
      <w:outlineLvl w:val="1"/>
    </w:pPr>
  </w:style>
  <w:style w:type="paragraph" w:customStyle="1" w:styleId="22">
    <w:name w:val="前言标题"/>
    <w:next w:val="1"/>
    <w:autoRedefine/>
    <w:qFormat/>
    <w:uiPriority w:val="99"/>
    <w:pPr>
      <w:numPr>
        <w:ilvl w:val="0"/>
        <w:numId w:val="1"/>
      </w:numPr>
      <w:shd w:val="clear" w:color="FFFFFF" w:fill="FFFFFF"/>
      <w:spacing w:before="540"/>
      <w:jc w:val="center"/>
      <w:outlineLvl w:val="0"/>
    </w:pPr>
    <w:rPr>
      <w:rFonts w:ascii="黑体" w:hAnsi="Times New Roman" w:eastAsia="黑体" w:cs="黑体"/>
      <w:kern w:val="0"/>
      <w:sz w:val="32"/>
      <w:szCs w:val="32"/>
      <w:lang w:val="en-US" w:eastAsia="zh-CN" w:bidi="ar-SA"/>
    </w:rPr>
  </w:style>
  <w:style w:type="character" w:customStyle="1" w:styleId="23">
    <w:name w:val="章标题 字符"/>
    <w:basedOn w:val="9"/>
    <w:link w:val="15"/>
    <w:autoRedefine/>
    <w:qFormat/>
    <w:uiPriority w:val="0"/>
    <w:rPr>
      <w:rFonts w:ascii="Times New Roman" w:hAnsi="Times New Roman" w:eastAsia="黑体" w:cs="黑体"/>
      <w:kern w:val="0"/>
      <w:szCs w:val="21"/>
    </w:rPr>
  </w:style>
  <w:style w:type="paragraph" w:customStyle="1" w:styleId="24">
    <w:name w:val="一级条标题"/>
    <w:basedOn w:val="21"/>
    <w:next w:val="10"/>
    <w:link w:val="25"/>
    <w:autoRedefine/>
    <w:qFormat/>
    <w:uiPriority w:val="0"/>
    <w:pPr>
      <w:spacing w:before="156" w:beforeLines="50" w:after="156" w:afterLines="50"/>
    </w:pPr>
    <w:rPr>
      <w:rFonts w:ascii="Times New Roman"/>
    </w:rPr>
  </w:style>
  <w:style w:type="character" w:customStyle="1" w:styleId="25">
    <w:name w:val="一级条标题 字符"/>
    <w:basedOn w:val="9"/>
    <w:link w:val="24"/>
    <w:autoRedefine/>
    <w:qFormat/>
    <w:uiPriority w:val="0"/>
    <w:rPr>
      <w:rFonts w:ascii="Times New Roman" w:hAnsi="Times New Roman" w:eastAsia="黑体" w:cs="黑体"/>
      <w:kern w:val="0"/>
      <w:szCs w:val="21"/>
    </w:rPr>
  </w:style>
  <w:style w:type="paragraph" w:customStyle="1" w:styleId="26">
    <w:name w:val="二级条标题"/>
    <w:basedOn w:val="17"/>
    <w:next w:val="10"/>
    <w:link w:val="27"/>
    <w:autoRedefine/>
    <w:qFormat/>
    <w:uiPriority w:val="0"/>
    <w:pPr>
      <w:spacing w:before="156" w:beforeLines="50" w:after="156" w:afterLines="50"/>
    </w:pPr>
    <w:rPr>
      <w:rFonts w:ascii="Times New Roman"/>
    </w:rPr>
  </w:style>
  <w:style w:type="character" w:customStyle="1" w:styleId="27">
    <w:name w:val="二级条标题 字符"/>
    <w:basedOn w:val="9"/>
    <w:link w:val="26"/>
    <w:autoRedefine/>
    <w:qFormat/>
    <w:uiPriority w:val="0"/>
    <w:rPr>
      <w:rFonts w:ascii="Times New Roman" w:hAnsi="Times New Roman" w:eastAsia="黑体" w:cs="黑体"/>
      <w:kern w:val="0"/>
      <w:szCs w:val="21"/>
    </w:rPr>
  </w:style>
  <w:style w:type="character" w:customStyle="1" w:styleId="28">
    <w:name w:val="页眉 字符"/>
    <w:basedOn w:val="9"/>
    <w:link w:val="4"/>
    <w:qFormat/>
    <w:uiPriority w:val="99"/>
    <w:rPr>
      <w:rFonts w:ascii="Calibri" w:hAnsi="Calibri" w:eastAsia="宋体" w:cs="Calibri"/>
      <w:sz w:val="18"/>
      <w:szCs w:val="18"/>
    </w:rPr>
  </w:style>
  <w:style w:type="character" w:customStyle="1" w:styleId="29">
    <w:name w:val="页脚 字符"/>
    <w:basedOn w:val="9"/>
    <w:link w:val="3"/>
    <w:qFormat/>
    <w:uiPriority w:val="99"/>
    <w:rPr>
      <w:rFonts w:ascii="Calibri" w:hAnsi="Calibri" w:eastAsia="宋体" w:cs="Calibri"/>
      <w:sz w:val="18"/>
      <w:szCs w:val="18"/>
    </w:rPr>
  </w:style>
  <w:style w:type="paragraph" w:customStyle="1" w:styleId="30">
    <w:name w:val="附录标题"/>
    <w:basedOn w:val="1"/>
    <w:next w:val="10"/>
    <w:link w:val="31"/>
    <w:autoRedefine/>
    <w:qFormat/>
    <w:uiPriority w:val="0"/>
    <w:pPr>
      <w:keepNext/>
      <w:widowControl/>
      <w:shd w:val="clear" w:color="FFFFFF" w:fill="FFFFFF"/>
      <w:tabs>
        <w:tab w:val="left" w:pos="360"/>
        <w:tab w:val="left" w:pos="6405"/>
      </w:tabs>
      <w:adjustRightInd/>
      <w:spacing w:line="360" w:lineRule="auto"/>
      <w:jc w:val="center"/>
      <w:outlineLvl w:val="0"/>
    </w:pPr>
    <w:rPr>
      <w:rFonts w:ascii="黑体" w:hAnsi="Times New Roman" w:eastAsia="黑体" w:cs="Times New Roman"/>
      <w:kern w:val="0"/>
      <w:szCs w:val="20"/>
    </w:rPr>
  </w:style>
  <w:style w:type="character" w:customStyle="1" w:styleId="31">
    <w:name w:val="附录标题 字符"/>
    <w:basedOn w:val="9"/>
    <w:link w:val="30"/>
    <w:autoRedefine/>
    <w:qFormat/>
    <w:uiPriority w:val="0"/>
    <w:rPr>
      <w:rFonts w:ascii="黑体" w:hAnsi="Times New Roman" w:eastAsia="黑体" w:cs="Times New Roman"/>
      <w:kern w:val="0"/>
      <w:szCs w:val="20"/>
      <w:shd w:val="clear" w:color="FFFFFF" w:fill="FFFFFF"/>
    </w:rPr>
  </w:style>
  <w:style w:type="character" w:customStyle="1" w:styleId="32">
    <w:name w:val="标题 1 Char"/>
    <w:link w:val="2"/>
    <w:uiPriority w:val="0"/>
    <w:rPr>
      <w:rFonts w:eastAsia="黑体"/>
      <w:b/>
      <w:kern w:val="44"/>
      <w:sz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1.tiff"/><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7748</Words>
  <Characters>8871</Characters>
  <Lines>73</Lines>
  <Paragraphs>20</Paragraphs>
  <TotalTime>18</TotalTime>
  <ScaleCrop>false</ScaleCrop>
  <LinksUpToDate>false</LinksUpToDate>
  <CharactersWithSpaces>9230</CharactersWithSpaces>
  <Application>WPS Office_12.1.0.26884_F1E327BC-269C-435d-A152-05C5408002CA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2025-07-20T02:33:00Z</dcterms:created>
  <dc:creator>超 蒋</dc:creator>
  <cp:lastModifiedBy>wangm</cp:lastModifiedBy>
  <cp:lastPrinted>2025-07-20T02:32:00Z</cp:lastPrinted>
  <dcterms:modified xsi:type="dcterms:W3CDTF">2026-07-30T15:33:56Z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eyJoZGlkIjoiYmRkYjVkNDdlYTJlODBkMTIzYmQ1ZjdjMjNjZTRhMGQiLCJ1c2VySWQiOiI1MzY1NTcwNDMifQ==</vt:lpwstr>
  </property>
  <property fmtid="{D5CDD505-2E9C-101B-9397-08002B2CF9AE}" pid="3" name="KSOProductBuildVer">
    <vt:lpwstr>2052-12.1.0.26884</vt:lpwstr>
  </property>
  <property fmtid="{D5CDD505-2E9C-101B-9397-08002B2CF9AE}" pid="4" name="ICV">
    <vt:lpwstr>11CB1AA5ACD24D93BA50684793BFE53D_12</vt:lpwstr>
  </property>
</Properties>
</file>