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19C6D0">
      <w:pPr>
        <w:pStyle w:val="6"/>
        <w:spacing w:line="243" w:lineRule="auto"/>
      </w:pPr>
    </w:p>
    <w:p w14:paraId="7D0ECB43">
      <w:pPr>
        <w:pStyle w:val="6"/>
        <w:spacing w:line="243" w:lineRule="auto"/>
      </w:pPr>
    </w:p>
    <w:p w14:paraId="7D21BF06">
      <w:pPr>
        <w:pStyle w:val="6"/>
        <w:spacing w:line="243" w:lineRule="auto"/>
      </w:pPr>
    </w:p>
    <w:p w14:paraId="6EEF0FF7">
      <w:pPr>
        <w:pStyle w:val="6"/>
        <w:spacing w:line="243" w:lineRule="auto"/>
      </w:pPr>
    </w:p>
    <w:p w14:paraId="026AEDE2">
      <w:pPr>
        <w:pStyle w:val="6"/>
        <w:spacing w:line="243" w:lineRule="auto"/>
      </w:pPr>
    </w:p>
    <w:p w14:paraId="238BC130">
      <w:pPr>
        <w:pStyle w:val="6"/>
        <w:spacing w:line="243" w:lineRule="auto"/>
      </w:pPr>
    </w:p>
    <w:p w14:paraId="39000941">
      <w:pPr>
        <w:pStyle w:val="6"/>
        <w:spacing w:line="243" w:lineRule="auto"/>
      </w:pPr>
    </w:p>
    <w:p w14:paraId="259EF7F6">
      <w:pPr>
        <w:pStyle w:val="6"/>
        <w:spacing w:line="243" w:lineRule="auto"/>
      </w:pPr>
    </w:p>
    <w:p w14:paraId="08D39DC7">
      <w:pPr>
        <w:pStyle w:val="6"/>
        <w:spacing w:line="243" w:lineRule="auto"/>
      </w:pPr>
    </w:p>
    <w:p w14:paraId="2ABF397E">
      <w:pPr>
        <w:pStyle w:val="6"/>
        <w:spacing w:line="243" w:lineRule="auto"/>
      </w:pPr>
    </w:p>
    <w:p w14:paraId="4D72B37D">
      <w:pPr>
        <w:pStyle w:val="6"/>
        <w:spacing w:line="243" w:lineRule="auto"/>
      </w:pPr>
    </w:p>
    <w:p w14:paraId="39F01186">
      <w:pPr>
        <w:pStyle w:val="6"/>
        <w:spacing w:line="244" w:lineRule="auto"/>
      </w:pPr>
    </w:p>
    <w:p w14:paraId="5CC496D7">
      <w:pPr>
        <w:pStyle w:val="6"/>
        <w:spacing w:line="244" w:lineRule="auto"/>
      </w:pPr>
    </w:p>
    <w:p w14:paraId="06329E13">
      <w:pPr>
        <w:keepNext w:val="0"/>
        <w:keepLines w:val="0"/>
        <w:pageBreakBefore w:val="0"/>
        <w:widowControl/>
        <w:kinsoku w:val="0"/>
        <w:wordWrap/>
        <w:overflowPunct/>
        <w:topLinePunct w:val="0"/>
        <w:autoSpaceDE w:val="0"/>
        <w:autoSpaceDN w:val="0"/>
        <w:bidi w:val="0"/>
        <w:adjustRightInd w:val="0"/>
        <w:snapToGrid w:val="0"/>
        <w:spacing w:before="223" w:line="272" w:lineRule="auto"/>
        <w:ind w:left="0" w:right="0" w:firstLine="0" w:firstLineChars="0"/>
        <w:jc w:val="center"/>
        <w:textAlignment w:val="baseline"/>
        <w:rPr>
          <w:rFonts w:hint="eastAsia" w:ascii="宋体" w:hAnsi="宋体" w:eastAsia="宋体" w:cs="宋体"/>
          <w:b/>
          <w:bCs/>
          <w:spacing w:val="-7"/>
          <w:sz w:val="52"/>
          <w:szCs w:val="52"/>
        </w:rPr>
      </w:pPr>
      <w:r>
        <w:rPr>
          <w:rFonts w:hint="eastAsia" w:ascii="宋体" w:hAnsi="宋体" w:eastAsia="宋体" w:cs="宋体"/>
          <w:b/>
          <w:bCs/>
          <w:spacing w:val="-7"/>
          <w:sz w:val="52"/>
          <w:szCs w:val="52"/>
        </w:rPr>
        <w:t>中国地理学会团体标准</w:t>
      </w:r>
    </w:p>
    <w:p w14:paraId="7B30A408">
      <w:pPr>
        <w:keepNext w:val="0"/>
        <w:keepLines w:val="0"/>
        <w:pageBreakBefore w:val="0"/>
        <w:widowControl/>
        <w:kinsoku w:val="0"/>
        <w:wordWrap/>
        <w:overflowPunct/>
        <w:topLinePunct w:val="0"/>
        <w:autoSpaceDE w:val="0"/>
        <w:autoSpaceDN w:val="0"/>
        <w:bidi w:val="0"/>
        <w:adjustRightInd w:val="0"/>
        <w:snapToGrid w:val="0"/>
        <w:spacing w:before="223" w:line="272" w:lineRule="auto"/>
        <w:ind w:left="0" w:right="0" w:firstLine="0" w:firstLineChars="0"/>
        <w:jc w:val="center"/>
        <w:textAlignment w:val="baseline"/>
        <w:rPr>
          <w:rFonts w:hint="eastAsia" w:ascii="宋体" w:hAnsi="宋体" w:eastAsia="宋体" w:cs="宋体"/>
          <w:b/>
          <w:bCs/>
          <w:spacing w:val="3"/>
          <w:sz w:val="52"/>
          <w:szCs w:val="52"/>
        </w:rPr>
      </w:pPr>
      <w:r>
        <w:rPr>
          <w:rFonts w:hint="eastAsia" w:ascii="宋体" w:hAnsi="宋体" w:eastAsia="宋体" w:cs="宋体"/>
          <w:b/>
          <w:bCs/>
          <w:spacing w:val="3"/>
          <w:sz w:val="52"/>
          <w:szCs w:val="52"/>
        </w:rPr>
        <w:t xml:space="preserve">《地标生境 </w:t>
      </w:r>
      <w:r>
        <w:rPr>
          <w:rFonts w:hint="eastAsia" w:ascii="宋体" w:hAnsi="宋体" w:cs="宋体"/>
          <w:b/>
          <w:bCs/>
          <w:spacing w:val="3"/>
          <w:sz w:val="52"/>
          <w:szCs w:val="52"/>
          <w:lang w:val="en-US" w:eastAsia="zh-CN"/>
        </w:rPr>
        <w:t>郧阳油橄榄北亚热带低山丘陵</w:t>
      </w:r>
      <w:r>
        <w:rPr>
          <w:rFonts w:hint="eastAsia" w:ascii="宋体" w:hAnsi="宋体" w:eastAsia="宋体" w:cs="宋体"/>
          <w:b/>
          <w:bCs/>
          <w:spacing w:val="3"/>
          <w:sz w:val="52"/>
          <w:szCs w:val="52"/>
        </w:rPr>
        <w:t>案例》</w:t>
      </w:r>
    </w:p>
    <w:p w14:paraId="506CE3D7">
      <w:pPr>
        <w:keepNext w:val="0"/>
        <w:keepLines w:val="0"/>
        <w:pageBreakBefore w:val="0"/>
        <w:widowControl/>
        <w:kinsoku w:val="0"/>
        <w:wordWrap/>
        <w:overflowPunct/>
        <w:topLinePunct w:val="0"/>
        <w:autoSpaceDE w:val="0"/>
        <w:autoSpaceDN w:val="0"/>
        <w:bidi w:val="0"/>
        <w:adjustRightInd w:val="0"/>
        <w:snapToGrid w:val="0"/>
        <w:spacing w:before="223" w:line="272" w:lineRule="auto"/>
        <w:ind w:left="0" w:right="0" w:firstLine="0" w:firstLineChars="0"/>
        <w:jc w:val="center"/>
        <w:textAlignment w:val="baseline"/>
        <w:rPr>
          <w:rFonts w:hint="eastAsia" w:ascii="宋体" w:hAnsi="宋体" w:eastAsia="宋体" w:cs="宋体"/>
          <w:b/>
          <w:bCs/>
          <w:spacing w:val="-21"/>
          <w:sz w:val="47"/>
          <w:szCs w:val="47"/>
        </w:rPr>
      </w:pPr>
      <w:r>
        <w:rPr>
          <w:rFonts w:hint="eastAsia" w:ascii="宋体" w:hAnsi="宋体" w:eastAsia="宋体" w:cs="宋体"/>
          <w:b/>
          <w:bCs/>
          <w:spacing w:val="-21"/>
          <w:sz w:val="47"/>
          <w:szCs w:val="47"/>
        </w:rPr>
        <w:t>（征求意见稿）</w:t>
      </w:r>
    </w:p>
    <w:p w14:paraId="33792461">
      <w:pPr>
        <w:keepNext w:val="0"/>
        <w:keepLines w:val="0"/>
        <w:pageBreakBefore w:val="0"/>
        <w:widowControl/>
        <w:kinsoku w:val="0"/>
        <w:wordWrap/>
        <w:overflowPunct/>
        <w:topLinePunct w:val="0"/>
        <w:autoSpaceDE w:val="0"/>
        <w:autoSpaceDN w:val="0"/>
        <w:bidi w:val="0"/>
        <w:adjustRightInd w:val="0"/>
        <w:snapToGrid w:val="0"/>
        <w:spacing w:before="223" w:line="272" w:lineRule="auto"/>
        <w:ind w:left="0" w:right="0" w:firstLine="0" w:firstLineChars="0"/>
        <w:jc w:val="center"/>
        <w:textAlignment w:val="baseline"/>
        <w:rPr>
          <w:rFonts w:ascii="微软雅黑" w:hAnsi="微软雅黑" w:eastAsia="微软雅黑" w:cs="微软雅黑"/>
          <w:b/>
          <w:bCs/>
          <w:sz w:val="52"/>
          <w:szCs w:val="52"/>
        </w:rPr>
      </w:pPr>
      <w:r>
        <w:rPr>
          <w:rFonts w:hint="eastAsia" w:ascii="宋体" w:hAnsi="宋体" w:eastAsia="宋体" w:cs="宋体"/>
          <w:b/>
          <w:bCs/>
          <w:spacing w:val="-6"/>
          <w:sz w:val="52"/>
          <w:szCs w:val="52"/>
        </w:rPr>
        <w:t>编制说明</w:t>
      </w:r>
    </w:p>
    <w:p w14:paraId="67E11B1E">
      <w:pPr>
        <w:pStyle w:val="6"/>
        <w:keepNext w:val="0"/>
        <w:keepLines w:val="0"/>
        <w:pageBreakBefore w:val="0"/>
        <w:widowControl/>
        <w:kinsoku w:val="0"/>
        <w:wordWrap/>
        <w:overflowPunct/>
        <w:topLinePunct w:val="0"/>
        <w:autoSpaceDE w:val="0"/>
        <w:autoSpaceDN w:val="0"/>
        <w:bidi w:val="0"/>
        <w:adjustRightInd w:val="0"/>
        <w:snapToGrid w:val="0"/>
        <w:spacing w:line="242" w:lineRule="auto"/>
        <w:textAlignment w:val="baseline"/>
      </w:pPr>
    </w:p>
    <w:p w14:paraId="26D9EC63">
      <w:pPr>
        <w:pStyle w:val="6"/>
        <w:spacing w:line="242" w:lineRule="auto"/>
      </w:pPr>
    </w:p>
    <w:p w14:paraId="6BA19FA0">
      <w:pPr>
        <w:pStyle w:val="6"/>
        <w:spacing w:line="242" w:lineRule="auto"/>
      </w:pPr>
    </w:p>
    <w:p w14:paraId="45CF7527">
      <w:pPr>
        <w:pStyle w:val="6"/>
        <w:spacing w:line="243" w:lineRule="auto"/>
      </w:pPr>
    </w:p>
    <w:p w14:paraId="404DDCBF">
      <w:pPr>
        <w:pStyle w:val="6"/>
        <w:spacing w:line="243" w:lineRule="auto"/>
      </w:pPr>
    </w:p>
    <w:p w14:paraId="598BBDED">
      <w:pPr>
        <w:pStyle w:val="6"/>
        <w:spacing w:line="243" w:lineRule="auto"/>
      </w:pPr>
    </w:p>
    <w:p w14:paraId="2D578674">
      <w:pPr>
        <w:pStyle w:val="6"/>
        <w:spacing w:line="243" w:lineRule="auto"/>
      </w:pPr>
    </w:p>
    <w:p w14:paraId="1EBA62C8">
      <w:pPr>
        <w:pStyle w:val="6"/>
        <w:spacing w:line="243" w:lineRule="auto"/>
      </w:pPr>
    </w:p>
    <w:p w14:paraId="2F429D69">
      <w:pPr>
        <w:pStyle w:val="6"/>
        <w:spacing w:line="243" w:lineRule="auto"/>
      </w:pPr>
    </w:p>
    <w:p w14:paraId="32D49F1E">
      <w:pPr>
        <w:pStyle w:val="6"/>
        <w:spacing w:line="243" w:lineRule="auto"/>
      </w:pPr>
    </w:p>
    <w:p w14:paraId="7A7B53FB">
      <w:pPr>
        <w:pStyle w:val="6"/>
        <w:spacing w:line="243" w:lineRule="auto"/>
      </w:pPr>
    </w:p>
    <w:p w14:paraId="3895CFA7">
      <w:pPr>
        <w:pStyle w:val="6"/>
        <w:spacing w:line="243" w:lineRule="auto"/>
      </w:pPr>
    </w:p>
    <w:p w14:paraId="5E74EAE3">
      <w:pPr>
        <w:pStyle w:val="6"/>
        <w:spacing w:line="243" w:lineRule="auto"/>
      </w:pPr>
    </w:p>
    <w:p w14:paraId="39E9BEDC">
      <w:pPr>
        <w:keepNext w:val="0"/>
        <w:keepLines w:val="0"/>
        <w:pageBreakBefore w:val="0"/>
        <w:widowControl/>
        <w:kinsoku w:val="0"/>
        <w:wordWrap/>
        <w:overflowPunct/>
        <w:topLinePunct w:val="0"/>
        <w:autoSpaceDE w:val="0"/>
        <w:autoSpaceDN w:val="0"/>
        <w:bidi w:val="0"/>
        <w:adjustRightInd w:val="0"/>
        <w:snapToGrid w:val="0"/>
        <w:spacing w:before="129" w:line="180" w:lineRule="auto"/>
        <w:ind w:firstLine="0" w:firstLineChars="0"/>
        <w:jc w:val="center"/>
        <w:textAlignment w:val="baseline"/>
        <w:rPr>
          <w:rFonts w:hint="eastAsia" w:ascii="宋体" w:hAnsi="宋体" w:eastAsia="宋体" w:cs="宋体"/>
          <w:sz w:val="30"/>
          <w:szCs w:val="30"/>
          <w:lang w:val="en-US" w:eastAsia="zh-CN"/>
        </w:rPr>
      </w:pPr>
      <w:r>
        <w:rPr>
          <w:rFonts w:hint="eastAsia" w:ascii="宋体" w:hAnsi="宋体" w:eastAsia="宋体" w:cs="宋体"/>
          <w:b/>
          <w:bCs/>
          <w:spacing w:val="-4"/>
          <w:sz w:val="30"/>
          <w:szCs w:val="30"/>
        </w:rPr>
        <w:t>中国科学院</w:t>
      </w:r>
      <w:r>
        <w:rPr>
          <w:rFonts w:hint="eastAsia" w:ascii="宋体" w:hAnsi="宋体" w:eastAsia="宋体" w:cs="宋体"/>
          <w:b/>
          <w:bCs/>
          <w:spacing w:val="-4"/>
          <w:sz w:val="30"/>
          <w:szCs w:val="30"/>
          <w:lang w:val="en-US" w:eastAsia="zh-CN"/>
        </w:rPr>
        <w:t>地理科学与资源研究所</w:t>
      </w:r>
    </w:p>
    <w:p w14:paraId="25917DC5">
      <w:pPr>
        <w:pStyle w:val="6"/>
        <w:keepNext w:val="0"/>
        <w:keepLines w:val="0"/>
        <w:pageBreakBefore w:val="0"/>
        <w:widowControl/>
        <w:kinsoku w:val="0"/>
        <w:wordWrap/>
        <w:overflowPunct/>
        <w:topLinePunct w:val="0"/>
        <w:autoSpaceDE w:val="0"/>
        <w:autoSpaceDN w:val="0"/>
        <w:bidi w:val="0"/>
        <w:adjustRightInd w:val="0"/>
        <w:snapToGrid w:val="0"/>
        <w:spacing w:line="248" w:lineRule="auto"/>
        <w:ind w:firstLine="0" w:firstLineChars="0"/>
        <w:jc w:val="center"/>
        <w:textAlignment w:val="baseline"/>
        <w:rPr>
          <w:rFonts w:hint="eastAsia" w:ascii="宋体" w:hAnsi="宋体" w:eastAsia="宋体" w:cs="宋体"/>
        </w:rPr>
      </w:pPr>
    </w:p>
    <w:p w14:paraId="71F450BF">
      <w:pPr>
        <w:pStyle w:val="6"/>
        <w:keepNext w:val="0"/>
        <w:keepLines w:val="0"/>
        <w:pageBreakBefore w:val="0"/>
        <w:widowControl/>
        <w:kinsoku w:val="0"/>
        <w:wordWrap/>
        <w:overflowPunct/>
        <w:topLinePunct w:val="0"/>
        <w:autoSpaceDE w:val="0"/>
        <w:autoSpaceDN w:val="0"/>
        <w:bidi w:val="0"/>
        <w:adjustRightInd w:val="0"/>
        <w:snapToGrid w:val="0"/>
        <w:spacing w:line="248" w:lineRule="auto"/>
        <w:ind w:firstLine="0" w:firstLineChars="0"/>
        <w:jc w:val="center"/>
        <w:textAlignment w:val="baseline"/>
        <w:rPr>
          <w:rFonts w:hint="eastAsia" w:ascii="宋体" w:hAnsi="宋体" w:eastAsia="宋体" w:cs="宋体"/>
        </w:rPr>
      </w:pPr>
    </w:p>
    <w:p w14:paraId="76BD5A3F">
      <w:pPr>
        <w:keepNext w:val="0"/>
        <w:keepLines w:val="0"/>
        <w:pageBreakBefore w:val="0"/>
        <w:widowControl/>
        <w:kinsoku w:val="0"/>
        <w:wordWrap/>
        <w:overflowPunct/>
        <w:topLinePunct w:val="0"/>
        <w:autoSpaceDE w:val="0"/>
        <w:autoSpaceDN w:val="0"/>
        <w:bidi w:val="0"/>
        <w:adjustRightInd w:val="0"/>
        <w:snapToGrid w:val="0"/>
        <w:spacing w:before="86" w:line="188" w:lineRule="auto"/>
        <w:ind w:firstLine="0" w:firstLineChars="0"/>
        <w:jc w:val="center"/>
        <w:textAlignment w:val="baseline"/>
        <w:rPr>
          <w:rFonts w:hint="eastAsia" w:ascii="宋体" w:hAnsi="宋体" w:eastAsia="宋体" w:cs="宋体"/>
          <w:sz w:val="30"/>
          <w:szCs w:val="30"/>
          <w:lang w:eastAsia="zh-CN"/>
        </w:rPr>
      </w:pPr>
      <w:r>
        <w:rPr>
          <w:rFonts w:hint="eastAsia" w:ascii="宋体" w:hAnsi="宋体" w:eastAsia="宋体" w:cs="宋体"/>
          <w:b/>
          <w:bCs/>
          <w:spacing w:val="-8"/>
          <w:sz w:val="30"/>
          <w:szCs w:val="30"/>
        </w:rPr>
        <w:t>2026-0</w:t>
      </w:r>
      <w:r>
        <w:rPr>
          <w:rFonts w:hint="eastAsia" w:ascii="宋体" w:hAnsi="宋体" w:eastAsia="宋体" w:cs="宋体"/>
          <w:b/>
          <w:bCs/>
          <w:spacing w:val="-8"/>
          <w:sz w:val="30"/>
          <w:szCs w:val="30"/>
          <w:lang w:val="en-US" w:eastAsia="zh-CN"/>
        </w:rPr>
        <w:t>7</w:t>
      </w:r>
    </w:p>
    <w:p w14:paraId="2C064B42">
      <w:pPr>
        <w:spacing w:line="188" w:lineRule="auto"/>
        <w:rPr>
          <w:rFonts w:ascii="Times New Roman" w:hAnsi="Times New Roman" w:eastAsia="Times New Roman" w:cs="Times New Roman"/>
          <w:sz w:val="30"/>
          <w:szCs w:val="30"/>
        </w:rPr>
        <w:sectPr>
          <w:pgSz w:w="11906" w:h="16839"/>
          <w:pgMar w:top="1431" w:right="1785" w:bottom="0" w:left="1785" w:header="0" w:footer="0" w:gutter="0"/>
          <w:cols w:space="720" w:num="1"/>
        </w:sectPr>
      </w:pPr>
    </w:p>
    <w:sdt>
      <w:sdtPr>
        <w:rPr>
          <w:rFonts w:ascii="宋体" w:hAnsi="宋体" w:eastAsia="宋体" w:cs="Arial"/>
          <w:snapToGrid w:val="0"/>
          <w:color w:val="000000"/>
          <w:kern w:val="0"/>
          <w:sz w:val="21"/>
          <w:szCs w:val="21"/>
          <w:lang w:val="en-US" w:eastAsia="en-US" w:bidi="ar-SA"/>
        </w:rPr>
        <w:id w:val="147482033"/>
        <w15:color w:val="DBDBDB"/>
        <w:docPartObj>
          <w:docPartGallery w:val="Table of Contents"/>
          <w:docPartUnique/>
        </w:docPartObj>
      </w:sdtPr>
      <w:sdtEndPr>
        <w:rPr>
          <w:rFonts w:ascii="Times New Roman" w:hAnsi="Times New Roman" w:eastAsia="Times New Roman" w:cs="Times New Roman"/>
          <w:snapToGrid w:val="0"/>
          <w:color w:val="000000"/>
          <w:kern w:val="0"/>
          <w:sz w:val="24"/>
          <w:szCs w:val="20"/>
          <w:lang w:val="en-US" w:eastAsia="en-US" w:bidi="ar-SA"/>
        </w:rPr>
      </w:sdtEndPr>
      <w:sdtContent>
        <w:p w14:paraId="2702FB54">
          <w:pPr>
            <w:spacing w:before="0" w:beforeLines="0" w:after="0" w:afterLines="0" w:line="240" w:lineRule="auto"/>
            <w:ind w:left="0" w:leftChars="0" w:right="0" w:rightChars="0" w:firstLine="0" w:firstLineChars="0"/>
            <w:jc w:val="center"/>
          </w:pPr>
          <w:r>
            <w:rPr>
              <w:rFonts w:ascii="宋体" w:hAnsi="宋体" w:eastAsia="宋体"/>
              <w:sz w:val="21"/>
            </w:rPr>
            <w:t>目录</w:t>
          </w:r>
        </w:p>
        <w:p w14:paraId="43A42451">
          <w:pPr>
            <w:pStyle w:val="11"/>
            <w:keepNext w:val="0"/>
            <w:keepLines w:val="0"/>
            <w:pageBreakBefore w:val="0"/>
            <w:widowControl/>
            <w:tabs>
              <w:tab w:val="right" w:leader="dot" w:pos="9341"/>
            </w:tabs>
            <w:kinsoku w:val="0"/>
            <w:wordWrap/>
            <w:overflowPunct/>
            <w:topLinePunct w:val="0"/>
            <w:autoSpaceDE w:val="0"/>
            <w:autoSpaceDN w:val="0"/>
            <w:bidi w:val="0"/>
            <w:adjustRightInd w:val="0"/>
            <w:snapToGrid w:val="0"/>
            <w:ind w:firstLine="0" w:firstLineChars="0"/>
            <w:textAlignment w:val="baseline"/>
            <w:rPr>
              <w:b/>
              <w:bCs/>
            </w:rPr>
          </w:pPr>
          <w:r>
            <w:fldChar w:fldCharType="begin"/>
          </w:r>
          <w:r>
            <w:instrText xml:space="preserve">TOC \o "1-4" \h \u </w:instrText>
          </w:r>
          <w:r>
            <w:fldChar w:fldCharType="separate"/>
          </w:r>
          <w:r>
            <w:rPr>
              <w:b/>
              <w:bCs/>
            </w:rPr>
            <w:fldChar w:fldCharType="begin"/>
          </w:r>
          <w:r>
            <w:rPr>
              <w:b/>
              <w:bCs/>
            </w:rPr>
            <w:instrText xml:space="preserve"> HYPERLINK \l _Toc8975 </w:instrText>
          </w:r>
          <w:r>
            <w:rPr>
              <w:b/>
              <w:bCs/>
            </w:rPr>
            <w:fldChar w:fldCharType="separate"/>
          </w:r>
          <w:r>
            <w:rPr>
              <w:rFonts w:hint="eastAsia"/>
              <w:b/>
              <w:bCs/>
            </w:rPr>
            <w:t>一</w:t>
          </w:r>
          <w:r>
            <w:rPr>
              <w:rFonts w:hint="eastAsia"/>
              <w:b/>
              <w:bCs/>
              <w:lang w:eastAsia="zh-CN"/>
            </w:rPr>
            <w:t>、</w:t>
          </w:r>
          <w:r>
            <w:rPr>
              <w:rFonts w:hint="eastAsia"/>
              <w:b/>
              <w:bCs/>
            </w:rPr>
            <w:t>工作简况</w:t>
          </w:r>
          <w:r>
            <w:rPr>
              <w:b/>
              <w:bCs/>
            </w:rPr>
            <w:tab/>
          </w:r>
          <w:r>
            <w:rPr>
              <w:b/>
              <w:bCs/>
            </w:rPr>
            <w:fldChar w:fldCharType="begin"/>
          </w:r>
          <w:r>
            <w:rPr>
              <w:b/>
              <w:bCs/>
            </w:rPr>
            <w:instrText xml:space="preserve"> PAGEREF _Toc8975 \h </w:instrText>
          </w:r>
          <w:r>
            <w:rPr>
              <w:b/>
              <w:bCs/>
            </w:rPr>
            <w:fldChar w:fldCharType="separate"/>
          </w:r>
          <w:r>
            <w:rPr>
              <w:b/>
              <w:bCs/>
            </w:rPr>
            <w:t>3</w:t>
          </w:r>
          <w:r>
            <w:rPr>
              <w:b/>
              <w:bCs/>
            </w:rPr>
            <w:fldChar w:fldCharType="end"/>
          </w:r>
          <w:r>
            <w:rPr>
              <w:b/>
              <w:bCs/>
            </w:rPr>
            <w:fldChar w:fldCharType="end"/>
          </w:r>
        </w:p>
        <w:p w14:paraId="7910D9A9">
          <w:pPr>
            <w:pStyle w:val="7"/>
            <w:keepNext w:val="0"/>
            <w:keepLines w:val="0"/>
            <w:pageBreakBefore w:val="0"/>
            <w:widowControl/>
            <w:tabs>
              <w:tab w:val="right" w:leader="dot" w:pos="9341"/>
            </w:tabs>
            <w:kinsoku w:val="0"/>
            <w:wordWrap/>
            <w:overflowPunct/>
            <w:topLinePunct w:val="0"/>
            <w:autoSpaceDE w:val="0"/>
            <w:autoSpaceDN w:val="0"/>
            <w:bidi w:val="0"/>
            <w:adjustRightInd w:val="0"/>
            <w:snapToGrid w:val="0"/>
            <w:ind w:firstLine="0" w:firstLineChars="0"/>
            <w:textAlignment w:val="baseline"/>
            <w:rPr>
              <w:b/>
              <w:bCs/>
            </w:rPr>
          </w:pPr>
          <w:r>
            <w:rPr>
              <w:b/>
              <w:bCs/>
            </w:rPr>
            <w:fldChar w:fldCharType="begin"/>
          </w:r>
          <w:r>
            <w:rPr>
              <w:b/>
              <w:bCs/>
            </w:rPr>
            <w:instrText xml:space="preserve"> HYPERLINK \l _Toc8772 </w:instrText>
          </w:r>
          <w:r>
            <w:rPr>
              <w:b/>
              <w:bCs/>
            </w:rPr>
            <w:fldChar w:fldCharType="separate"/>
          </w:r>
          <w:r>
            <w:rPr>
              <w:rFonts w:hint="eastAsia"/>
              <w:b/>
              <w:bCs/>
            </w:rPr>
            <w:t>（一）任务来源</w:t>
          </w:r>
          <w:r>
            <w:rPr>
              <w:b/>
              <w:bCs/>
            </w:rPr>
            <w:tab/>
          </w:r>
          <w:r>
            <w:rPr>
              <w:b/>
              <w:bCs/>
            </w:rPr>
            <w:fldChar w:fldCharType="begin"/>
          </w:r>
          <w:r>
            <w:rPr>
              <w:b/>
              <w:bCs/>
            </w:rPr>
            <w:instrText xml:space="preserve"> PAGEREF _Toc8772 \h </w:instrText>
          </w:r>
          <w:r>
            <w:rPr>
              <w:b/>
              <w:bCs/>
            </w:rPr>
            <w:fldChar w:fldCharType="separate"/>
          </w:r>
          <w:r>
            <w:rPr>
              <w:b/>
              <w:bCs/>
            </w:rPr>
            <w:t>3</w:t>
          </w:r>
          <w:r>
            <w:rPr>
              <w:b/>
              <w:bCs/>
            </w:rPr>
            <w:fldChar w:fldCharType="end"/>
          </w:r>
          <w:r>
            <w:rPr>
              <w:b/>
              <w:bCs/>
            </w:rPr>
            <w:fldChar w:fldCharType="end"/>
          </w:r>
        </w:p>
        <w:p w14:paraId="29D0903B">
          <w:pPr>
            <w:pStyle w:val="7"/>
            <w:keepNext w:val="0"/>
            <w:keepLines w:val="0"/>
            <w:pageBreakBefore w:val="0"/>
            <w:widowControl/>
            <w:tabs>
              <w:tab w:val="right" w:leader="dot" w:pos="9341"/>
            </w:tabs>
            <w:kinsoku w:val="0"/>
            <w:wordWrap/>
            <w:overflowPunct/>
            <w:topLinePunct w:val="0"/>
            <w:autoSpaceDE w:val="0"/>
            <w:autoSpaceDN w:val="0"/>
            <w:bidi w:val="0"/>
            <w:adjustRightInd w:val="0"/>
            <w:snapToGrid w:val="0"/>
            <w:ind w:firstLine="0" w:firstLineChars="0"/>
            <w:textAlignment w:val="baseline"/>
            <w:rPr>
              <w:b/>
              <w:bCs/>
            </w:rPr>
          </w:pPr>
          <w:r>
            <w:rPr>
              <w:b/>
              <w:bCs/>
            </w:rPr>
            <w:fldChar w:fldCharType="begin"/>
          </w:r>
          <w:r>
            <w:rPr>
              <w:b/>
              <w:bCs/>
            </w:rPr>
            <w:instrText xml:space="preserve"> HYPERLINK \l _Toc13895 </w:instrText>
          </w:r>
          <w:r>
            <w:rPr>
              <w:b/>
              <w:bCs/>
            </w:rPr>
            <w:fldChar w:fldCharType="separate"/>
          </w:r>
          <w:r>
            <w:rPr>
              <w:rFonts w:hint="eastAsia"/>
              <w:b/>
              <w:bCs/>
            </w:rPr>
            <w:t>（二）经费说明</w:t>
          </w:r>
          <w:r>
            <w:rPr>
              <w:b/>
              <w:bCs/>
            </w:rPr>
            <w:tab/>
          </w:r>
          <w:r>
            <w:rPr>
              <w:b/>
              <w:bCs/>
            </w:rPr>
            <w:fldChar w:fldCharType="begin"/>
          </w:r>
          <w:r>
            <w:rPr>
              <w:b/>
              <w:bCs/>
            </w:rPr>
            <w:instrText xml:space="preserve"> PAGEREF _Toc13895 \h </w:instrText>
          </w:r>
          <w:r>
            <w:rPr>
              <w:b/>
              <w:bCs/>
            </w:rPr>
            <w:fldChar w:fldCharType="separate"/>
          </w:r>
          <w:r>
            <w:rPr>
              <w:b/>
              <w:bCs/>
            </w:rPr>
            <w:t>3</w:t>
          </w:r>
          <w:r>
            <w:rPr>
              <w:b/>
              <w:bCs/>
            </w:rPr>
            <w:fldChar w:fldCharType="end"/>
          </w:r>
          <w:r>
            <w:rPr>
              <w:b/>
              <w:bCs/>
            </w:rPr>
            <w:fldChar w:fldCharType="end"/>
          </w:r>
        </w:p>
        <w:p w14:paraId="5706CCB5">
          <w:pPr>
            <w:pStyle w:val="7"/>
            <w:keepNext w:val="0"/>
            <w:keepLines w:val="0"/>
            <w:pageBreakBefore w:val="0"/>
            <w:widowControl/>
            <w:tabs>
              <w:tab w:val="right" w:leader="dot" w:pos="9341"/>
            </w:tabs>
            <w:kinsoku w:val="0"/>
            <w:wordWrap/>
            <w:overflowPunct/>
            <w:topLinePunct w:val="0"/>
            <w:autoSpaceDE w:val="0"/>
            <w:autoSpaceDN w:val="0"/>
            <w:bidi w:val="0"/>
            <w:adjustRightInd w:val="0"/>
            <w:snapToGrid w:val="0"/>
            <w:ind w:firstLine="0" w:firstLineChars="0"/>
            <w:textAlignment w:val="baseline"/>
            <w:rPr>
              <w:b/>
              <w:bCs/>
            </w:rPr>
          </w:pPr>
          <w:r>
            <w:rPr>
              <w:b/>
              <w:bCs/>
            </w:rPr>
            <w:fldChar w:fldCharType="begin"/>
          </w:r>
          <w:r>
            <w:rPr>
              <w:b/>
              <w:bCs/>
            </w:rPr>
            <w:instrText xml:space="preserve"> HYPERLINK \l _Toc11784 </w:instrText>
          </w:r>
          <w:r>
            <w:rPr>
              <w:b/>
              <w:bCs/>
            </w:rPr>
            <w:fldChar w:fldCharType="separate"/>
          </w:r>
          <w:r>
            <w:rPr>
              <w:rFonts w:hint="eastAsia"/>
              <w:b/>
              <w:bCs/>
            </w:rPr>
            <w:t>（三）起草单位及编制组成员</w:t>
          </w:r>
          <w:r>
            <w:rPr>
              <w:b/>
              <w:bCs/>
            </w:rPr>
            <w:tab/>
          </w:r>
          <w:r>
            <w:rPr>
              <w:b/>
              <w:bCs/>
            </w:rPr>
            <w:fldChar w:fldCharType="begin"/>
          </w:r>
          <w:r>
            <w:rPr>
              <w:b/>
              <w:bCs/>
            </w:rPr>
            <w:instrText xml:space="preserve"> PAGEREF _Toc11784 \h </w:instrText>
          </w:r>
          <w:r>
            <w:rPr>
              <w:b/>
              <w:bCs/>
            </w:rPr>
            <w:fldChar w:fldCharType="separate"/>
          </w:r>
          <w:r>
            <w:rPr>
              <w:b/>
              <w:bCs/>
            </w:rPr>
            <w:t>3</w:t>
          </w:r>
          <w:r>
            <w:rPr>
              <w:b/>
              <w:bCs/>
            </w:rPr>
            <w:fldChar w:fldCharType="end"/>
          </w:r>
          <w:r>
            <w:rPr>
              <w:b/>
              <w:bCs/>
            </w:rPr>
            <w:fldChar w:fldCharType="end"/>
          </w:r>
        </w:p>
        <w:p w14:paraId="6A3F180F">
          <w:pPr>
            <w:pStyle w:val="7"/>
            <w:keepNext w:val="0"/>
            <w:keepLines w:val="0"/>
            <w:pageBreakBefore w:val="0"/>
            <w:widowControl/>
            <w:tabs>
              <w:tab w:val="right" w:leader="dot" w:pos="9341"/>
            </w:tabs>
            <w:kinsoku w:val="0"/>
            <w:wordWrap/>
            <w:overflowPunct/>
            <w:topLinePunct w:val="0"/>
            <w:autoSpaceDE w:val="0"/>
            <w:autoSpaceDN w:val="0"/>
            <w:bidi w:val="0"/>
            <w:adjustRightInd w:val="0"/>
            <w:snapToGrid w:val="0"/>
            <w:ind w:firstLine="0" w:firstLineChars="0"/>
            <w:textAlignment w:val="baseline"/>
            <w:rPr>
              <w:b/>
              <w:bCs/>
            </w:rPr>
          </w:pPr>
          <w:r>
            <w:rPr>
              <w:b/>
              <w:bCs/>
            </w:rPr>
            <w:fldChar w:fldCharType="begin"/>
          </w:r>
          <w:r>
            <w:rPr>
              <w:b/>
              <w:bCs/>
            </w:rPr>
            <w:instrText xml:space="preserve"> HYPERLINK \l _Toc12634 </w:instrText>
          </w:r>
          <w:r>
            <w:rPr>
              <w:b/>
              <w:bCs/>
            </w:rPr>
            <w:fldChar w:fldCharType="separate"/>
          </w:r>
          <w:r>
            <w:rPr>
              <w:rFonts w:hint="eastAsia"/>
              <w:b/>
              <w:bCs/>
            </w:rPr>
            <w:t>（四）主要工作过程</w:t>
          </w:r>
          <w:r>
            <w:rPr>
              <w:b/>
              <w:bCs/>
            </w:rPr>
            <w:tab/>
          </w:r>
          <w:r>
            <w:rPr>
              <w:b/>
              <w:bCs/>
            </w:rPr>
            <w:fldChar w:fldCharType="begin"/>
          </w:r>
          <w:r>
            <w:rPr>
              <w:b/>
              <w:bCs/>
            </w:rPr>
            <w:instrText xml:space="preserve"> PAGEREF _Toc12634 \h </w:instrText>
          </w:r>
          <w:r>
            <w:rPr>
              <w:b/>
              <w:bCs/>
            </w:rPr>
            <w:fldChar w:fldCharType="separate"/>
          </w:r>
          <w:r>
            <w:rPr>
              <w:b/>
              <w:bCs/>
            </w:rPr>
            <w:t>5</w:t>
          </w:r>
          <w:r>
            <w:rPr>
              <w:b/>
              <w:bCs/>
            </w:rPr>
            <w:fldChar w:fldCharType="end"/>
          </w:r>
          <w:r>
            <w:rPr>
              <w:b/>
              <w:bCs/>
            </w:rPr>
            <w:fldChar w:fldCharType="end"/>
          </w:r>
        </w:p>
        <w:p w14:paraId="3EC81385">
          <w:pPr>
            <w:pStyle w:val="11"/>
            <w:keepNext w:val="0"/>
            <w:keepLines w:val="0"/>
            <w:pageBreakBefore w:val="0"/>
            <w:widowControl/>
            <w:tabs>
              <w:tab w:val="right" w:leader="dot" w:pos="9341"/>
            </w:tabs>
            <w:kinsoku w:val="0"/>
            <w:wordWrap/>
            <w:overflowPunct/>
            <w:topLinePunct w:val="0"/>
            <w:autoSpaceDE w:val="0"/>
            <w:autoSpaceDN w:val="0"/>
            <w:bidi w:val="0"/>
            <w:adjustRightInd w:val="0"/>
            <w:snapToGrid w:val="0"/>
            <w:ind w:firstLine="0" w:firstLineChars="0"/>
            <w:textAlignment w:val="baseline"/>
            <w:rPr>
              <w:b/>
              <w:bCs/>
            </w:rPr>
          </w:pPr>
          <w:r>
            <w:rPr>
              <w:b/>
              <w:bCs/>
            </w:rPr>
            <w:fldChar w:fldCharType="begin"/>
          </w:r>
          <w:r>
            <w:rPr>
              <w:b/>
              <w:bCs/>
            </w:rPr>
            <w:instrText xml:space="preserve"> HYPERLINK \l _Toc5586 </w:instrText>
          </w:r>
          <w:r>
            <w:rPr>
              <w:b/>
              <w:bCs/>
            </w:rPr>
            <w:fldChar w:fldCharType="separate"/>
          </w:r>
          <w:r>
            <w:rPr>
              <w:rFonts w:hint="eastAsia"/>
              <w:b/>
              <w:bCs/>
            </w:rPr>
            <w:t>二</w:t>
          </w:r>
          <w:r>
            <w:rPr>
              <w:rFonts w:hint="eastAsia"/>
              <w:b/>
              <w:bCs/>
              <w:lang w:eastAsia="zh-CN"/>
            </w:rPr>
            <w:t>、</w:t>
          </w:r>
          <w:r>
            <w:rPr>
              <w:rFonts w:hint="eastAsia"/>
              <w:b/>
              <w:bCs/>
            </w:rPr>
            <w:t>团体标准编制原则和确定标准主要内容的依据</w:t>
          </w:r>
          <w:r>
            <w:rPr>
              <w:b/>
              <w:bCs/>
            </w:rPr>
            <w:tab/>
          </w:r>
          <w:r>
            <w:rPr>
              <w:b/>
              <w:bCs/>
            </w:rPr>
            <w:fldChar w:fldCharType="begin"/>
          </w:r>
          <w:r>
            <w:rPr>
              <w:b/>
              <w:bCs/>
            </w:rPr>
            <w:instrText xml:space="preserve"> PAGEREF _Toc5586 \h </w:instrText>
          </w:r>
          <w:r>
            <w:rPr>
              <w:b/>
              <w:bCs/>
            </w:rPr>
            <w:fldChar w:fldCharType="separate"/>
          </w:r>
          <w:r>
            <w:rPr>
              <w:b/>
              <w:bCs/>
            </w:rPr>
            <w:t>6</w:t>
          </w:r>
          <w:r>
            <w:rPr>
              <w:b/>
              <w:bCs/>
            </w:rPr>
            <w:fldChar w:fldCharType="end"/>
          </w:r>
          <w:r>
            <w:rPr>
              <w:b/>
              <w:bCs/>
            </w:rPr>
            <w:fldChar w:fldCharType="end"/>
          </w:r>
        </w:p>
        <w:p w14:paraId="03306D83">
          <w:pPr>
            <w:pStyle w:val="7"/>
            <w:keepNext w:val="0"/>
            <w:keepLines w:val="0"/>
            <w:pageBreakBefore w:val="0"/>
            <w:widowControl/>
            <w:tabs>
              <w:tab w:val="right" w:leader="dot" w:pos="9341"/>
            </w:tabs>
            <w:kinsoku w:val="0"/>
            <w:wordWrap/>
            <w:overflowPunct/>
            <w:topLinePunct w:val="0"/>
            <w:autoSpaceDE w:val="0"/>
            <w:autoSpaceDN w:val="0"/>
            <w:bidi w:val="0"/>
            <w:adjustRightInd w:val="0"/>
            <w:snapToGrid w:val="0"/>
            <w:ind w:firstLine="0" w:firstLineChars="0"/>
            <w:textAlignment w:val="baseline"/>
            <w:rPr>
              <w:b/>
              <w:bCs/>
            </w:rPr>
          </w:pPr>
          <w:r>
            <w:rPr>
              <w:b/>
              <w:bCs/>
            </w:rPr>
            <w:fldChar w:fldCharType="begin"/>
          </w:r>
          <w:r>
            <w:rPr>
              <w:b/>
              <w:bCs/>
            </w:rPr>
            <w:instrText xml:space="preserve"> HYPERLINK \l _Toc21134 </w:instrText>
          </w:r>
          <w:r>
            <w:rPr>
              <w:b/>
              <w:bCs/>
            </w:rPr>
            <w:fldChar w:fldCharType="separate"/>
          </w:r>
          <w:r>
            <w:rPr>
              <w:rFonts w:hint="eastAsia"/>
              <w:b/>
              <w:bCs/>
            </w:rPr>
            <w:t>（一）标准编制背景</w:t>
          </w:r>
          <w:r>
            <w:rPr>
              <w:b/>
              <w:bCs/>
            </w:rPr>
            <w:tab/>
          </w:r>
          <w:r>
            <w:rPr>
              <w:b/>
              <w:bCs/>
            </w:rPr>
            <w:fldChar w:fldCharType="begin"/>
          </w:r>
          <w:r>
            <w:rPr>
              <w:b/>
              <w:bCs/>
            </w:rPr>
            <w:instrText xml:space="preserve"> PAGEREF _Toc21134 \h </w:instrText>
          </w:r>
          <w:r>
            <w:rPr>
              <w:b/>
              <w:bCs/>
            </w:rPr>
            <w:fldChar w:fldCharType="separate"/>
          </w:r>
          <w:r>
            <w:rPr>
              <w:b/>
              <w:bCs/>
            </w:rPr>
            <w:t>6</w:t>
          </w:r>
          <w:r>
            <w:rPr>
              <w:b/>
              <w:bCs/>
            </w:rPr>
            <w:fldChar w:fldCharType="end"/>
          </w:r>
          <w:r>
            <w:rPr>
              <w:b/>
              <w:bCs/>
            </w:rPr>
            <w:fldChar w:fldCharType="end"/>
          </w:r>
        </w:p>
        <w:p w14:paraId="41D6D8FC">
          <w:pPr>
            <w:pStyle w:val="7"/>
            <w:keepNext w:val="0"/>
            <w:keepLines w:val="0"/>
            <w:pageBreakBefore w:val="0"/>
            <w:widowControl/>
            <w:tabs>
              <w:tab w:val="right" w:leader="dot" w:pos="9341"/>
            </w:tabs>
            <w:kinsoku w:val="0"/>
            <w:wordWrap/>
            <w:overflowPunct/>
            <w:topLinePunct w:val="0"/>
            <w:autoSpaceDE w:val="0"/>
            <w:autoSpaceDN w:val="0"/>
            <w:bidi w:val="0"/>
            <w:adjustRightInd w:val="0"/>
            <w:snapToGrid w:val="0"/>
            <w:ind w:firstLine="0" w:firstLineChars="0"/>
            <w:textAlignment w:val="baseline"/>
            <w:rPr>
              <w:b/>
              <w:bCs/>
            </w:rPr>
          </w:pPr>
          <w:r>
            <w:rPr>
              <w:b/>
              <w:bCs/>
            </w:rPr>
            <w:fldChar w:fldCharType="begin"/>
          </w:r>
          <w:r>
            <w:rPr>
              <w:b/>
              <w:bCs/>
            </w:rPr>
            <w:instrText xml:space="preserve"> HYPERLINK \l _Toc32157 </w:instrText>
          </w:r>
          <w:r>
            <w:rPr>
              <w:b/>
              <w:bCs/>
            </w:rPr>
            <w:fldChar w:fldCharType="separate"/>
          </w:r>
          <w:r>
            <w:rPr>
              <w:rFonts w:hint="eastAsia"/>
              <w:b/>
              <w:bCs/>
            </w:rPr>
            <w:t>（二）标准编制原则</w:t>
          </w:r>
          <w:r>
            <w:rPr>
              <w:b/>
              <w:bCs/>
            </w:rPr>
            <w:tab/>
          </w:r>
          <w:r>
            <w:rPr>
              <w:b/>
              <w:bCs/>
            </w:rPr>
            <w:fldChar w:fldCharType="begin"/>
          </w:r>
          <w:r>
            <w:rPr>
              <w:b/>
              <w:bCs/>
            </w:rPr>
            <w:instrText xml:space="preserve"> PAGEREF _Toc32157 \h </w:instrText>
          </w:r>
          <w:r>
            <w:rPr>
              <w:b/>
              <w:bCs/>
            </w:rPr>
            <w:fldChar w:fldCharType="separate"/>
          </w:r>
          <w:r>
            <w:rPr>
              <w:b/>
              <w:bCs/>
            </w:rPr>
            <w:t>6</w:t>
          </w:r>
          <w:r>
            <w:rPr>
              <w:b/>
              <w:bCs/>
            </w:rPr>
            <w:fldChar w:fldCharType="end"/>
          </w:r>
          <w:r>
            <w:rPr>
              <w:b/>
              <w:bCs/>
            </w:rPr>
            <w:fldChar w:fldCharType="end"/>
          </w:r>
        </w:p>
        <w:p w14:paraId="50C42EC1">
          <w:pPr>
            <w:pStyle w:val="7"/>
            <w:keepNext w:val="0"/>
            <w:keepLines w:val="0"/>
            <w:pageBreakBefore w:val="0"/>
            <w:widowControl/>
            <w:tabs>
              <w:tab w:val="right" w:leader="dot" w:pos="9341"/>
            </w:tabs>
            <w:kinsoku w:val="0"/>
            <w:wordWrap/>
            <w:overflowPunct/>
            <w:topLinePunct w:val="0"/>
            <w:autoSpaceDE w:val="0"/>
            <w:autoSpaceDN w:val="0"/>
            <w:bidi w:val="0"/>
            <w:adjustRightInd w:val="0"/>
            <w:snapToGrid w:val="0"/>
            <w:ind w:firstLine="0" w:firstLineChars="0"/>
            <w:textAlignment w:val="baseline"/>
          </w:pPr>
          <w:r>
            <w:rPr>
              <w:b/>
              <w:bCs/>
            </w:rPr>
            <w:fldChar w:fldCharType="begin"/>
          </w:r>
          <w:r>
            <w:rPr>
              <w:b/>
              <w:bCs/>
            </w:rPr>
            <w:instrText xml:space="preserve"> HYPERLINK \l _Toc14742 </w:instrText>
          </w:r>
          <w:r>
            <w:rPr>
              <w:b/>
              <w:bCs/>
            </w:rPr>
            <w:fldChar w:fldCharType="separate"/>
          </w:r>
          <w:r>
            <w:rPr>
              <w:rFonts w:hint="eastAsia"/>
              <w:b/>
              <w:bCs/>
            </w:rPr>
            <w:t>（三）标准主要内容的依据</w:t>
          </w:r>
          <w:r>
            <w:rPr>
              <w:b/>
              <w:bCs/>
            </w:rPr>
            <w:tab/>
          </w:r>
          <w:r>
            <w:rPr>
              <w:b/>
              <w:bCs/>
            </w:rPr>
            <w:fldChar w:fldCharType="begin"/>
          </w:r>
          <w:r>
            <w:rPr>
              <w:b/>
              <w:bCs/>
            </w:rPr>
            <w:instrText xml:space="preserve"> PAGEREF _Toc14742 \h </w:instrText>
          </w:r>
          <w:r>
            <w:rPr>
              <w:b/>
              <w:bCs/>
            </w:rPr>
            <w:fldChar w:fldCharType="separate"/>
          </w:r>
          <w:r>
            <w:rPr>
              <w:b/>
              <w:bCs/>
            </w:rPr>
            <w:t>7</w:t>
          </w:r>
          <w:r>
            <w:rPr>
              <w:b/>
              <w:bCs/>
            </w:rPr>
            <w:fldChar w:fldCharType="end"/>
          </w:r>
          <w:r>
            <w:rPr>
              <w:b/>
              <w:bCs/>
            </w:rPr>
            <w:fldChar w:fldCharType="end"/>
          </w:r>
        </w:p>
        <w:p w14:paraId="2C7F5323">
          <w:pPr>
            <w:pStyle w:val="10"/>
            <w:keepNext w:val="0"/>
            <w:keepLines w:val="0"/>
            <w:pageBreakBefore w:val="0"/>
            <w:widowControl/>
            <w:tabs>
              <w:tab w:val="right" w:leader="dot" w:pos="9341"/>
            </w:tabs>
            <w:kinsoku w:val="0"/>
            <w:wordWrap/>
            <w:overflowPunct/>
            <w:topLinePunct w:val="0"/>
            <w:autoSpaceDE w:val="0"/>
            <w:autoSpaceDN w:val="0"/>
            <w:bidi w:val="0"/>
            <w:adjustRightInd w:val="0"/>
            <w:snapToGrid w:val="0"/>
            <w:ind w:firstLine="0" w:firstLineChars="0"/>
            <w:textAlignment w:val="baseline"/>
          </w:pPr>
          <w:r>
            <w:fldChar w:fldCharType="begin"/>
          </w:r>
          <w:r>
            <w:instrText xml:space="preserve"> HYPERLINK \l _Toc27500 </w:instrText>
          </w:r>
          <w:r>
            <w:fldChar w:fldCharType="separate"/>
          </w:r>
          <w:r>
            <w:rPr>
              <w:rFonts w:hint="eastAsia"/>
            </w:rPr>
            <w:t>1</w:t>
          </w:r>
          <w:r>
            <w:rPr>
              <w:rFonts w:hint="eastAsia"/>
              <w:lang w:val="en-US" w:eastAsia="zh-CN"/>
            </w:rPr>
            <w:t xml:space="preserve">  </w:t>
          </w:r>
          <w:r>
            <w:rPr>
              <w:rFonts w:hint="eastAsia"/>
            </w:rPr>
            <w:t>范围</w:t>
          </w:r>
          <w:r>
            <w:tab/>
          </w:r>
          <w:r>
            <w:fldChar w:fldCharType="begin"/>
          </w:r>
          <w:r>
            <w:instrText xml:space="preserve"> PAGEREF _Toc27500 \h </w:instrText>
          </w:r>
          <w:r>
            <w:fldChar w:fldCharType="separate"/>
          </w:r>
          <w:r>
            <w:t>7</w:t>
          </w:r>
          <w:r>
            <w:fldChar w:fldCharType="end"/>
          </w:r>
          <w:r>
            <w:fldChar w:fldCharType="end"/>
          </w:r>
        </w:p>
        <w:p w14:paraId="3365FBCE">
          <w:pPr>
            <w:pStyle w:val="10"/>
            <w:keepNext w:val="0"/>
            <w:keepLines w:val="0"/>
            <w:pageBreakBefore w:val="0"/>
            <w:widowControl/>
            <w:tabs>
              <w:tab w:val="right" w:leader="dot" w:pos="9341"/>
            </w:tabs>
            <w:kinsoku w:val="0"/>
            <w:wordWrap/>
            <w:overflowPunct/>
            <w:topLinePunct w:val="0"/>
            <w:autoSpaceDE w:val="0"/>
            <w:autoSpaceDN w:val="0"/>
            <w:bidi w:val="0"/>
            <w:adjustRightInd w:val="0"/>
            <w:snapToGrid w:val="0"/>
            <w:ind w:firstLine="0" w:firstLineChars="0"/>
            <w:textAlignment w:val="baseline"/>
          </w:pPr>
          <w:r>
            <w:fldChar w:fldCharType="begin"/>
          </w:r>
          <w:r>
            <w:instrText xml:space="preserve"> HYPERLINK \l _Toc3355 </w:instrText>
          </w:r>
          <w:r>
            <w:fldChar w:fldCharType="separate"/>
          </w:r>
          <w:r>
            <w:rPr>
              <w:rFonts w:hint="eastAsia"/>
            </w:rPr>
            <w:t>2  规范性引用文件</w:t>
          </w:r>
          <w:r>
            <w:tab/>
          </w:r>
          <w:r>
            <w:fldChar w:fldCharType="begin"/>
          </w:r>
          <w:r>
            <w:instrText xml:space="preserve"> PAGEREF _Toc3355 \h </w:instrText>
          </w:r>
          <w:r>
            <w:fldChar w:fldCharType="separate"/>
          </w:r>
          <w:r>
            <w:t>7</w:t>
          </w:r>
          <w:r>
            <w:fldChar w:fldCharType="end"/>
          </w:r>
          <w:r>
            <w:fldChar w:fldCharType="end"/>
          </w:r>
        </w:p>
        <w:p w14:paraId="5E11FC5F">
          <w:pPr>
            <w:pStyle w:val="10"/>
            <w:keepNext w:val="0"/>
            <w:keepLines w:val="0"/>
            <w:pageBreakBefore w:val="0"/>
            <w:widowControl/>
            <w:tabs>
              <w:tab w:val="right" w:leader="dot" w:pos="9341"/>
            </w:tabs>
            <w:kinsoku w:val="0"/>
            <w:wordWrap/>
            <w:overflowPunct/>
            <w:topLinePunct w:val="0"/>
            <w:autoSpaceDE w:val="0"/>
            <w:autoSpaceDN w:val="0"/>
            <w:bidi w:val="0"/>
            <w:adjustRightInd w:val="0"/>
            <w:snapToGrid w:val="0"/>
            <w:ind w:firstLine="0" w:firstLineChars="0"/>
            <w:textAlignment w:val="baseline"/>
          </w:pPr>
          <w:r>
            <w:fldChar w:fldCharType="begin"/>
          </w:r>
          <w:r>
            <w:instrText xml:space="preserve"> HYPERLINK \l _Toc2345 </w:instrText>
          </w:r>
          <w:r>
            <w:fldChar w:fldCharType="separate"/>
          </w:r>
          <w:r>
            <w:rPr>
              <w:rFonts w:hint="eastAsia"/>
            </w:rPr>
            <w:t>3  术语和定义</w:t>
          </w:r>
          <w:r>
            <w:tab/>
          </w:r>
          <w:r>
            <w:fldChar w:fldCharType="begin"/>
          </w:r>
          <w:r>
            <w:instrText xml:space="preserve"> PAGEREF _Toc2345 \h </w:instrText>
          </w:r>
          <w:r>
            <w:fldChar w:fldCharType="separate"/>
          </w:r>
          <w:r>
            <w:t>8</w:t>
          </w:r>
          <w:r>
            <w:fldChar w:fldCharType="end"/>
          </w:r>
          <w:r>
            <w:fldChar w:fldCharType="end"/>
          </w:r>
        </w:p>
        <w:p w14:paraId="2D11A8FC">
          <w:pPr>
            <w:pStyle w:val="10"/>
            <w:keepNext w:val="0"/>
            <w:keepLines w:val="0"/>
            <w:pageBreakBefore w:val="0"/>
            <w:widowControl/>
            <w:tabs>
              <w:tab w:val="right" w:leader="dot" w:pos="9341"/>
            </w:tabs>
            <w:kinsoku w:val="0"/>
            <w:wordWrap/>
            <w:overflowPunct/>
            <w:topLinePunct w:val="0"/>
            <w:autoSpaceDE w:val="0"/>
            <w:autoSpaceDN w:val="0"/>
            <w:bidi w:val="0"/>
            <w:adjustRightInd w:val="0"/>
            <w:snapToGrid w:val="0"/>
            <w:ind w:firstLine="0" w:firstLineChars="0"/>
            <w:textAlignment w:val="baseline"/>
          </w:pPr>
          <w:r>
            <w:fldChar w:fldCharType="begin"/>
          </w:r>
          <w:r>
            <w:instrText xml:space="preserve"> HYPERLINK \l _Toc7584 </w:instrText>
          </w:r>
          <w:r>
            <w:fldChar w:fldCharType="separate"/>
          </w:r>
          <w:r>
            <w:rPr>
              <w:rFonts w:hint="eastAsia"/>
            </w:rPr>
            <w:t xml:space="preserve">4  </w:t>
          </w:r>
          <w:r>
            <w:rPr>
              <w:rFonts w:hint="eastAsia"/>
              <w:lang w:val="en-US" w:eastAsia="zh-CN"/>
            </w:rPr>
            <w:t>产地范围</w:t>
          </w:r>
          <w:r>
            <w:tab/>
          </w:r>
          <w:r>
            <w:fldChar w:fldCharType="begin"/>
          </w:r>
          <w:r>
            <w:instrText xml:space="preserve"> PAGEREF _Toc7584 \h </w:instrText>
          </w:r>
          <w:r>
            <w:fldChar w:fldCharType="separate"/>
          </w:r>
          <w:r>
            <w:t>8</w:t>
          </w:r>
          <w:r>
            <w:fldChar w:fldCharType="end"/>
          </w:r>
          <w:r>
            <w:fldChar w:fldCharType="end"/>
          </w:r>
        </w:p>
        <w:p w14:paraId="7E80EC9C">
          <w:pPr>
            <w:pStyle w:val="10"/>
            <w:keepNext w:val="0"/>
            <w:keepLines w:val="0"/>
            <w:pageBreakBefore w:val="0"/>
            <w:widowControl/>
            <w:tabs>
              <w:tab w:val="right" w:leader="dot" w:pos="9341"/>
            </w:tabs>
            <w:kinsoku w:val="0"/>
            <w:wordWrap/>
            <w:overflowPunct/>
            <w:topLinePunct w:val="0"/>
            <w:autoSpaceDE w:val="0"/>
            <w:autoSpaceDN w:val="0"/>
            <w:bidi w:val="0"/>
            <w:adjustRightInd w:val="0"/>
            <w:snapToGrid w:val="0"/>
            <w:ind w:firstLine="0" w:firstLineChars="0"/>
            <w:textAlignment w:val="baseline"/>
          </w:pPr>
          <w:r>
            <w:fldChar w:fldCharType="begin"/>
          </w:r>
          <w:r>
            <w:instrText xml:space="preserve"> HYPERLINK \l _Toc648 </w:instrText>
          </w:r>
          <w:r>
            <w:fldChar w:fldCharType="separate"/>
          </w:r>
          <w:r>
            <w:rPr>
              <w:rFonts w:hint="default" w:ascii="Times New Roman" w:hAnsi="Times New Roman" w:cs="Times New Roman"/>
              <w:lang w:val="en-US" w:eastAsia="zh-CN"/>
            </w:rPr>
            <w:t xml:space="preserve">5  </w:t>
          </w:r>
          <w:r>
            <w:rPr>
              <w:rFonts w:hint="default" w:ascii="Times New Roman" w:hAnsi="Times New Roman" w:cs="Times New Roman"/>
              <w:lang w:val="en-US" w:eastAsia="en-US"/>
            </w:rPr>
            <w:t>生境条件</w:t>
          </w:r>
          <w:r>
            <w:tab/>
          </w:r>
          <w:r>
            <w:fldChar w:fldCharType="begin"/>
          </w:r>
          <w:r>
            <w:instrText xml:space="preserve"> PAGEREF _Toc648 \h </w:instrText>
          </w:r>
          <w:r>
            <w:fldChar w:fldCharType="separate"/>
          </w:r>
          <w:r>
            <w:t>8</w:t>
          </w:r>
          <w:r>
            <w:fldChar w:fldCharType="end"/>
          </w:r>
          <w:r>
            <w:fldChar w:fldCharType="end"/>
          </w:r>
        </w:p>
        <w:p w14:paraId="4040A9F1">
          <w:pPr>
            <w:pStyle w:val="10"/>
            <w:keepNext w:val="0"/>
            <w:keepLines w:val="0"/>
            <w:pageBreakBefore w:val="0"/>
            <w:widowControl/>
            <w:tabs>
              <w:tab w:val="right" w:leader="dot" w:pos="9341"/>
            </w:tabs>
            <w:kinsoku w:val="0"/>
            <w:wordWrap/>
            <w:overflowPunct/>
            <w:topLinePunct w:val="0"/>
            <w:autoSpaceDE w:val="0"/>
            <w:autoSpaceDN w:val="0"/>
            <w:bidi w:val="0"/>
            <w:adjustRightInd w:val="0"/>
            <w:snapToGrid w:val="0"/>
            <w:ind w:firstLine="0" w:firstLineChars="0"/>
            <w:textAlignment w:val="baseline"/>
          </w:pPr>
          <w:bookmarkStart w:id="54" w:name="_GoBack"/>
          <w:r>
            <w:fldChar w:fldCharType="begin"/>
          </w:r>
          <w:r>
            <w:instrText xml:space="preserve"> HYPERLINK \l _Toc30810 </w:instrText>
          </w:r>
          <w:r>
            <w:fldChar w:fldCharType="separate"/>
          </w:r>
          <w:r>
            <w:rPr>
              <w:rFonts w:hint="eastAsia"/>
              <w:lang w:val="en-US" w:eastAsia="zh-CN"/>
            </w:rPr>
            <w:t xml:space="preserve">6  </w:t>
          </w:r>
          <w:r>
            <w:rPr>
              <w:rFonts w:hint="eastAsia"/>
            </w:rPr>
            <w:t>油橄榄生产</w:t>
          </w:r>
          <w:r>
            <w:tab/>
          </w:r>
          <w:r>
            <w:fldChar w:fldCharType="begin"/>
          </w:r>
          <w:r>
            <w:instrText xml:space="preserve"> PAGEREF _Toc30810 \h </w:instrText>
          </w:r>
          <w:r>
            <w:fldChar w:fldCharType="separate"/>
          </w:r>
          <w:r>
            <w:t>9</w:t>
          </w:r>
          <w:r>
            <w:fldChar w:fldCharType="end"/>
          </w:r>
          <w:r>
            <w:fldChar w:fldCharType="end"/>
          </w:r>
        </w:p>
        <w:bookmarkEnd w:id="54"/>
        <w:p w14:paraId="18BC1580">
          <w:pPr>
            <w:pStyle w:val="10"/>
            <w:keepNext w:val="0"/>
            <w:keepLines w:val="0"/>
            <w:pageBreakBefore w:val="0"/>
            <w:widowControl/>
            <w:tabs>
              <w:tab w:val="right" w:leader="dot" w:pos="9341"/>
            </w:tabs>
            <w:kinsoku w:val="0"/>
            <w:wordWrap/>
            <w:overflowPunct/>
            <w:topLinePunct w:val="0"/>
            <w:autoSpaceDE w:val="0"/>
            <w:autoSpaceDN w:val="0"/>
            <w:bidi w:val="0"/>
            <w:adjustRightInd w:val="0"/>
            <w:snapToGrid w:val="0"/>
            <w:ind w:firstLine="0" w:firstLineChars="0"/>
            <w:textAlignment w:val="baseline"/>
          </w:pPr>
          <w:r>
            <w:fldChar w:fldCharType="begin"/>
          </w:r>
          <w:r>
            <w:instrText xml:space="preserve"> HYPERLINK \l _Toc18161 </w:instrText>
          </w:r>
          <w:r>
            <w:fldChar w:fldCharType="separate"/>
          </w:r>
          <w:r>
            <w:rPr>
              <w:rFonts w:hint="eastAsia"/>
              <w:lang w:val="en-US" w:eastAsia="zh-CN"/>
            </w:rPr>
            <w:t>7  收获</w:t>
          </w:r>
          <w:r>
            <w:tab/>
          </w:r>
          <w:r>
            <w:fldChar w:fldCharType="begin"/>
          </w:r>
          <w:r>
            <w:instrText xml:space="preserve"> PAGEREF _Toc18161 \h </w:instrText>
          </w:r>
          <w:r>
            <w:fldChar w:fldCharType="separate"/>
          </w:r>
          <w:r>
            <w:t>10</w:t>
          </w:r>
          <w:r>
            <w:fldChar w:fldCharType="end"/>
          </w:r>
          <w:r>
            <w:fldChar w:fldCharType="end"/>
          </w:r>
        </w:p>
        <w:p w14:paraId="356F126A">
          <w:pPr>
            <w:pStyle w:val="10"/>
            <w:keepNext w:val="0"/>
            <w:keepLines w:val="0"/>
            <w:pageBreakBefore w:val="0"/>
            <w:widowControl/>
            <w:tabs>
              <w:tab w:val="right" w:leader="dot" w:pos="9341"/>
            </w:tabs>
            <w:kinsoku w:val="0"/>
            <w:wordWrap/>
            <w:overflowPunct/>
            <w:topLinePunct w:val="0"/>
            <w:autoSpaceDE w:val="0"/>
            <w:autoSpaceDN w:val="0"/>
            <w:bidi w:val="0"/>
            <w:adjustRightInd w:val="0"/>
            <w:snapToGrid w:val="0"/>
            <w:ind w:firstLine="0" w:firstLineChars="0"/>
            <w:textAlignment w:val="baseline"/>
          </w:pPr>
          <w:r>
            <w:fldChar w:fldCharType="begin"/>
          </w:r>
          <w:r>
            <w:instrText xml:space="preserve"> HYPERLINK \l _Toc12791 </w:instrText>
          </w:r>
          <w:r>
            <w:fldChar w:fldCharType="separate"/>
          </w:r>
          <w:r>
            <w:rPr>
              <w:rFonts w:hint="eastAsia"/>
              <w:lang w:val="en-US" w:eastAsia="zh-CN"/>
            </w:rPr>
            <w:t xml:space="preserve">8  </w:t>
          </w:r>
          <w:r>
            <w:rPr>
              <w:rFonts w:hint="eastAsia"/>
            </w:rPr>
            <w:t>加工生产</w:t>
          </w:r>
          <w:r>
            <w:tab/>
          </w:r>
          <w:r>
            <w:fldChar w:fldCharType="begin"/>
          </w:r>
          <w:r>
            <w:instrText xml:space="preserve"> PAGEREF _Toc12791 \h </w:instrText>
          </w:r>
          <w:r>
            <w:fldChar w:fldCharType="separate"/>
          </w:r>
          <w:r>
            <w:t>10</w:t>
          </w:r>
          <w:r>
            <w:fldChar w:fldCharType="end"/>
          </w:r>
          <w:r>
            <w:fldChar w:fldCharType="end"/>
          </w:r>
        </w:p>
        <w:p w14:paraId="01F1C220">
          <w:pPr>
            <w:pStyle w:val="10"/>
            <w:keepNext w:val="0"/>
            <w:keepLines w:val="0"/>
            <w:pageBreakBefore w:val="0"/>
            <w:widowControl/>
            <w:tabs>
              <w:tab w:val="right" w:leader="dot" w:pos="9341"/>
            </w:tabs>
            <w:kinsoku w:val="0"/>
            <w:wordWrap/>
            <w:overflowPunct/>
            <w:topLinePunct w:val="0"/>
            <w:autoSpaceDE w:val="0"/>
            <w:autoSpaceDN w:val="0"/>
            <w:bidi w:val="0"/>
            <w:adjustRightInd w:val="0"/>
            <w:snapToGrid w:val="0"/>
            <w:ind w:firstLine="0" w:firstLineChars="0"/>
            <w:textAlignment w:val="baseline"/>
          </w:pPr>
          <w:r>
            <w:fldChar w:fldCharType="begin"/>
          </w:r>
          <w:r>
            <w:instrText xml:space="preserve"> HYPERLINK \l _Toc30648 </w:instrText>
          </w:r>
          <w:r>
            <w:fldChar w:fldCharType="separate"/>
          </w:r>
          <w:r>
            <w:rPr>
              <w:rFonts w:hint="eastAsia"/>
              <w:lang w:val="en-US" w:eastAsia="zh-CN"/>
            </w:rPr>
            <w:t xml:space="preserve">9  </w:t>
          </w:r>
          <w:r>
            <w:rPr>
              <w:rFonts w:hint="eastAsia"/>
            </w:rPr>
            <w:t>销售</w:t>
          </w:r>
          <w:r>
            <w:tab/>
          </w:r>
          <w:r>
            <w:fldChar w:fldCharType="begin"/>
          </w:r>
          <w:r>
            <w:instrText xml:space="preserve"> PAGEREF _Toc30648 \h </w:instrText>
          </w:r>
          <w:r>
            <w:fldChar w:fldCharType="separate"/>
          </w:r>
          <w:r>
            <w:t>12</w:t>
          </w:r>
          <w:r>
            <w:fldChar w:fldCharType="end"/>
          </w:r>
          <w:r>
            <w:fldChar w:fldCharType="end"/>
          </w:r>
        </w:p>
        <w:p w14:paraId="451366B4">
          <w:pPr>
            <w:pStyle w:val="10"/>
            <w:keepNext w:val="0"/>
            <w:keepLines w:val="0"/>
            <w:pageBreakBefore w:val="0"/>
            <w:widowControl/>
            <w:tabs>
              <w:tab w:val="right" w:leader="dot" w:pos="9341"/>
            </w:tabs>
            <w:kinsoku w:val="0"/>
            <w:wordWrap/>
            <w:overflowPunct/>
            <w:topLinePunct w:val="0"/>
            <w:autoSpaceDE w:val="0"/>
            <w:autoSpaceDN w:val="0"/>
            <w:bidi w:val="0"/>
            <w:adjustRightInd w:val="0"/>
            <w:snapToGrid w:val="0"/>
            <w:ind w:firstLine="0" w:firstLineChars="0"/>
            <w:textAlignment w:val="baseline"/>
          </w:pPr>
          <w:r>
            <w:fldChar w:fldCharType="begin"/>
          </w:r>
          <w:r>
            <w:instrText xml:space="preserve"> HYPERLINK \l _Toc12390 </w:instrText>
          </w:r>
          <w:r>
            <w:fldChar w:fldCharType="separate"/>
          </w:r>
          <w:r>
            <w:rPr>
              <w:rFonts w:hint="eastAsia"/>
              <w:lang w:val="en-US" w:eastAsia="zh-CN"/>
            </w:rPr>
            <w:t xml:space="preserve">10  </w:t>
          </w:r>
          <w:r>
            <w:rPr>
              <w:rFonts w:hint="eastAsia"/>
            </w:rPr>
            <w:t>管理</w:t>
          </w:r>
          <w:r>
            <w:tab/>
          </w:r>
          <w:r>
            <w:fldChar w:fldCharType="begin"/>
          </w:r>
          <w:r>
            <w:instrText xml:space="preserve"> PAGEREF _Toc12390 \h </w:instrText>
          </w:r>
          <w:r>
            <w:fldChar w:fldCharType="separate"/>
          </w:r>
          <w:r>
            <w:t>12</w:t>
          </w:r>
          <w:r>
            <w:fldChar w:fldCharType="end"/>
          </w:r>
          <w:r>
            <w:fldChar w:fldCharType="end"/>
          </w:r>
        </w:p>
        <w:p w14:paraId="54DF472E">
          <w:pPr>
            <w:pStyle w:val="11"/>
            <w:keepNext w:val="0"/>
            <w:keepLines w:val="0"/>
            <w:pageBreakBefore w:val="0"/>
            <w:widowControl/>
            <w:tabs>
              <w:tab w:val="right" w:leader="dot" w:pos="9341"/>
            </w:tabs>
            <w:kinsoku w:val="0"/>
            <w:wordWrap/>
            <w:overflowPunct/>
            <w:topLinePunct w:val="0"/>
            <w:autoSpaceDE w:val="0"/>
            <w:autoSpaceDN w:val="0"/>
            <w:bidi w:val="0"/>
            <w:adjustRightInd w:val="0"/>
            <w:snapToGrid w:val="0"/>
            <w:ind w:firstLine="0" w:firstLineChars="0"/>
            <w:textAlignment w:val="baseline"/>
            <w:rPr>
              <w:b/>
              <w:bCs/>
            </w:rPr>
          </w:pPr>
          <w:r>
            <w:rPr>
              <w:b/>
              <w:bCs/>
            </w:rPr>
            <w:fldChar w:fldCharType="begin"/>
          </w:r>
          <w:r>
            <w:rPr>
              <w:b/>
              <w:bCs/>
            </w:rPr>
            <w:instrText xml:space="preserve"> HYPERLINK \l _Toc19768 </w:instrText>
          </w:r>
          <w:r>
            <w:rPr>
              <w:b/>
              <w:bCs/>
            </w:rPr>
            <w:fldChar w:fldCharType="separate"/>
          </w:r>
          <w:r>
            <w:rPr>
              <w:rFonts w:hint="eastAsia"/>
              <w:b/>
              <w:bCs/>
            </w:rPr>
            <w:t>三 、主要试验 （或验证） 情况分析</w:t>
          </w:r>
          <w:r>
            <w:rPr>
              <w:b/>
              <w:bCs/>
            </w:rPr>
            <w:tab/>
          </w:r>
          <w:r>
            <w:rPr>
              <w:b/>
              <w:bCs/>
            </w:rPr>
            <w:fldChar w:fldCharType="begin"/>
          </w:r>
          <w:r>
            <w:rPr>
              <w:b/>
              <w:bCs/>
            </w:rPr>
            <w:instrText xml:space="preserve"> PAGEREF _Toc19768 \h </w:instrText>
          </w:r>
          <w:r>
            <w:rPr>
              <w:b/>
              <w:bCs/>
            </w:rPr>
            <w:fldChar w:fldCharType="separate"/>
          </w:r>
          <w:r>
            <w:rPr>
              <w:b/>
              <w:bCs/>
            </w:rPr>
            <w:t>12</w:t>
          </w:r>
          <w:r>
            <w:rPr>
              <w:b/>
              <w:bCs/>
            </w:rPr>
            <w:fldChar w:fldCharType="end"/>
          </w:r>
          <w:r>
            <w:rPr>
              <w:b/>
              <w:bCs/>
            </w:rPr>
            <w:fldChar w:fldCharType="end"/>
          </w:r>
        </w:p>
        <w:p w14:paraId="2EF73A49">
          <w:pPr>
            <w:pStyle w:val="11"/>
            <w:keepNext w:val="0"/>
            <w:keepLines w:val="0"/>
            <w:pageBreakBefore w:val="0"/>
            <w:widowControl/>
            <w:tabs>
              <w:tab w:val="right" w:leader="dot" w:pos="9341"/>
            </w:tabs>
            <w:kinsoku w:val="0"/>
            <w:wordWrap/>
            <w:overflowPunct/>
            <w:topLinePunct w:val="0"/>
            <w:autoSpaceDE w:val="0"/>
            <w:autoSpaceDN w:val="0"/>
            <w:bidi w:val="0"/>
            <w:adjustRightInd w:val="0"/>
            <w:snapToGrid w:val="0"/>
            <w:ind w:firstLine="0" w:firstLineChars="0"/>
            <w:textAlignment w:val="baseline"/>
            <w:rPr>
              <w:b/>
              <w:bCs/>
            </w:rPr>
          </w:pPr>
          <w:r>
            <w:rPr>
              <w:b/>
              <w:bCs/>
            </w:rPr>
            <w:fldChar w:fldCharType="begin"/>
          </w:r>
          <w:r>
            <w:rPr>
              <w:b/>
              <w:bCs/>
            </w:rPr>
            <w:instrText xml:space="preserve"> HYPERLINK \l _Toc13345 </w:instrText>
          </w:r>
          <w:r>
            <w:rPr>
              <w:b/>
              <w:bCs/>
            </w:rPr>
            <w:fldChar w:fldCharType="separate"/>
          </w:r>
          <w:r>
            <w:rPr>
              <w:rFonts w:hint="eastAsia"/>
              <w:b/>
              <w:bCs/>
            </w:rPr>
            <w:t>四 、标准中涉及专利的情况</w:t>
          </w:r>
          <w:r>
            <w:rPr>
              <w:b/>
              <w:bCs/>
            </w:rPr>
            <w:tab/>
          </w:r>
          <w:r>
            <w:rPr>
              <w:b/>
              <w:bCs/>
            </w:rPr>
            <w:fldChar w:fldCharType="begin"/>
          </w:r>
          <w:r>
            <w:rPr>
              <w:b/>
              <w:bCs/>
            </w:rPr>
            <w:instrText xml:space="preserve"> PAGEREF _Toc13345 \h </w:instrText>
          </w:r>
          <w:r>
            <w:rPr>
              <w:b/>
              <w:bCs/>
            </w:rPr>
            <w:fldChar w:fldCharType="separate"/>
          </w:r>
          <w:r>
            <w:rPr>
              <w:b/>
              <w:bCs/>
            </w:rPr>
            <w:t>15</w:t>
          </w:r>
          <w:r>
            <w:rPr>
              <w:b/>
              <w:bCs/>
            </w:rPr>
            <w:fldChar w:fldCharType="end"/>
          </w:r>
          <w:r>
            <w:rPr>
              <w:b/>
              <w:bCs/>
            </w:rPr>
            <w:fldChar w:fldCharType="end"/>
          </w:r>
        </w:p>
        <w:p w14:paraId="1AF78A62">
          <w:pPr>
            <w:pStyle w:val="11"/>
            <w:keepNext w:val="0"/>
            <w:keepLines w:val="0"/>
            <w:pageBreakBefore w:val="0"/>
            <w:widowControl/>
            <w:tabs>
              <w:tab w:val="right" w:leader="dot" w:pos="9341"/>
            </w:tabs>
            <w:kinsoku w:val="0"/>
            <w:wordWrap/>
            <w:overflowPunct/>
            <w:topLinePunct w:val="0"/>
            <w:autoSpaceDE w:val="0"/>
            <w:autoSpaceDN w:val="0"/>
            <w:bidi w:val="0"/>
            <w:adjustRightInd w:val="0"/>
            <w:snapToGrid w:val="0"/>
            <w:ind w:firstLine="0" w:firstLineChars="0"/>
            <w:textAlignment w:val="baseline"/>
            <w:rPr>
              <w:b/>
              <w:bCs/>
            </w:rPr>
          </w:pPr>
          <w:r>
            <w:rPr>
              <w:b/>
              <w:bCs/>
            </w:rPr>
            <w:fldChar w:fldCharType="begin"/>
          </w:r>
          <w:r>
            <w:rPr>
              <w:b/>
              <w:bCs/>
            </w:rPr>
            <w:instrText xml:space="preserve"> HYPERLINK \l _Toc20863 </w:instrText>
          </w:r>
          <w:r>
            <w:rPr>
              <w:b/>
              <w:bCs/>
            </w:rPr>
            <w:fldChar w:fldCharType="separate"/>
          </w:r>
          <w:r>
            <w:rPr>
              <w:rFonts w:hint="eastAsia"/>
              <w:b/>
              <w:bCs/>
            </w:rPr>
            <w:t>五 、预期达到的社会效益</w:t>
          </w:r>
          <w:r>
            <w:rPr>
              <w:b/>
              <w:bCs/>
            </w:rPr>
            <w:tab/>
          </w:r>
          <w:r>
            <w:rPr>
              <w:b/>
              <w:bCs/>
            </w:rPr>
            <w:fldChar w:fldCharType="begin"/>
          </w:r>
          <w:r>
            <w:rPr>
              <w:b/>
              <w:bCs/>
            </w:rPr>
            <w:instrText xml:space="preserve"> PAGEREF _Toc20863 \h </w:instrText>
          </w:r>
          <w:r>
            <w:rPr>
              <w:b/>
              <w:bCs/>
            </w:rPr>
            <w:fldChar w:fldCharType="separate"/>
          </w:r>
          <w:r>
            <w:rPr>
              <w:b/>
              <w:bCs/>
            </w:rPr>
            <w:t>16</w:t>
          </w:r>
          <w:r>
            <w:rPr>
              <w:b/>
              <w:bCs/>
            </w:rPr>
            <w:fldChar w:fldCharType="end"/>
          </w:r>
          <w:r>
            <w:rPr>
              <w:b/>
              <w:bCs/>
            </w:rPr>
            <w:fldChar w:fldCharType="end"/>
          </w:r>
        </w:p>
        <w:p w14:paraId="2EF68F9A">
          <w:pPr>
            <w:pStyle w:val="11"/>
            <w:keepNext w:val="0"/>
            <w:keepLines w:val="0"/>
            <w:pageBreakBefore w:val="0"/>
            <w:widowControl/>
            <w:tabs>
              <w:tab w:val="right" w:leader="dot" w:pos="9341"/>
            </w:tabs>
            <w:kinsoku w:val="0"/>
            <w:wordWrap/>
            <w:overflowPunct/>
            <w:topLinePunct w:val="0"/>
            <w:autoSpaceDE w:val="0"/>
            <w:autoSpaceDN w:val="0"/>
            <w:bidi w:val="0"/>
            <w:adjustRightInd w:val="0"/>
            <w:snapToGrid w:val="0"/>
            <w:ind w:firstLine="0" w:firstLineChars="0"/>
            <w:textAlignment w:val="baseline"/>
            <w:rPr>
              <w:b/>
              <w:bCs/>
            </w:rPr>
          </w:pPr>
          <w:r>
            <w:rPr>
              <w:b/>
              <w:bCs/>
            </w:rPr>
            <w:fldChar w:fldCharType="begin"/>
          </w:r>
          <w:r>
            <w:rPr>
              <w:b/>
              <w:bCs/>
            </w:rPr>
            <w:instrText xml:space="preserve"> HYPERLINK \l _Toc9351 </w:instrText>
          </w:r>
          <w:r>
            <w:rPr>
              <w:b/>
              <w:bCs/>
            </w:rPr>
            <w:fldChar w:fldCharType="separate"/>
          </w:r>
          <w:r>
            <w:rPr>
              <w:rFonts w:hint="eastAsia"/>
              <w:b/>
              <w:bCs/>
            </w:rPr>
            <w:t>六 、采用国际标准和国外先进标准的情况</w:t>
          </w:r>
          <w:r>
            <w:rPr>
              <w:b/>
              <w:bCs/>
            </w:rPr>
            <w:tab/>
          </w:r>
          <w:r>
            <w:rPr>
              <w:b/>
              <w:bCs/>
            </w:rPr>
            <w:fldChar w:fldCharType="begin"/>
          </w:r>
          <w:r>
            <w:rPr>
              <w:b/>
              <w:bCs/>
            </w:rPr>
            <w:instrText xml:space="preserve"> PAGEREF _Toc9351 \h </w:instrText>
          </w:r>
          <w:r>
            <w:rPr>
              <w:b/>
              <w:bCs/>
            </w:rPr>
            <w:fldChar w:fldCharType="separate"/>
          </w:r>
          <w:r>
            <w:rPr>
              <w:b/>
              <w:bCs/>
            </w:rPr>
            <w:t>16</w:t>
          </w:r>
          <w:r>
            <w:rPr>
              <w:b/>
              <w:bCs/>
            </w:rPr>
            <w:fldChar w:fldCharType="end"/>
          </w:r>
          <w:r>
            <w:rPr>
              <w:b/>
              <w:bCs/>
            </w:rPr>
            <w:fldChar w:fldCharType="end"/>
          </w:r>
        </w:p>
        <w:p w14:paraId="73D6B67D">
          <w:pPr>
            <w:pStyle w:val="11"/>
            <w:keepNext w:val="0"/>
            <w:keepLines w:val="0"/>
            <w:pageBreakBefore w:val="0"/>
            <w:widowControl/>
            <w:tabs>
              <w:tab w:val="right" w:leader="dot" w:pos="9341"/>
            </w:tabs>
            <w:kinsoku w:val="0"/>
            <w:wordWrap/>
            <w:overflowPunct/>
            <w:topLinePunct w:val="0"/>
            <w:autoSpaceDE w:val="0"/>
            <w:autoSpaceDN w:val="0"/>
            <w:bidi w:val="0"/>
            <w:adjustRightInd w:val="0"/>
            <w:snapToGrid w:val="0"/>
            <w:ind w:firstLine="0" w:firstLineChars="0"/>
            <w:textAlignment w:val="baseline"/>
            <w:rPr>
              <w:b/>
              <w:bCs/>
            </w:rPr>
          </w:pPr>
          <w:r>
            <w:rPr>
              <w:b/>
              <w:bCs/>
            </w:rPr>
            <w:fldChar w:fldCharType="begin"/>
          </w:r>
          <w:r>
            <w:rPr>
              <w:b/>
              <w:bCs/>
            </w:rPr>
            <w:instrText xml:space="preserve"> HYPERLINK \l _Toc1460 </w:instrText>
          </w:r>
          <w:r>
            <w:rPr>
              <w:b/>
              <w:bCs/>
            </w:rPr>
            <w:fldChar w:fldCharType="separate"/>
          </w:r>
          <w:r>
            <w:rPr>
              <w:rFonts w:hint="eastAsia"/>
              <w:b/>
              <w:bCs/>
            </w:rPr>
            <w:t>七、与现行相关法律、法规规章及相关标准，特别是强制性标准的协调性</w:t>
          </w:r>
          <w:r>
            <w:rPr>
              <w:b/>
              <w:bCs/>
            </w:rPr>
            <w:tab/>
          </w:r>
          <w:r>
            <w:rPr>
              <w:b/>
              <w:bCs/>
            </w:rPr>
            <w:fldChar w:fldCharType="begin"/>
          </w:r>
          <w:r>
            <w:rPr>
              <w:b/>
              <w:bCs/>
            </w:rPr>
            <w:instrText xml:space="preserve"> PAGEREF _Toc1460 \h </w:instrText>
          </w:r>
          <w:r>
            <w:rPr>
              <w:b/>
              <w:bCs/>
            </w:rPr>
            <w:fldChar w:fldCharType="separate"/>
          </w:r>
          <w:r>
            <w:rPr>
              <w:b/>
              <w:bCs/>
            </w:rPr>
            <w:t>16</w:t>
          </w:r>
          <w:r>
            <w:rPr>
              <w:b/>
              <w:bCs/>
            </w:rPr>
            <w:fldChar w:fldCharType="end"/>
          </w:r>
          <w:r>
            <w:rPr>
              <w:b/>
              <w:bCs/>
            </w:rPr>
            <w:fldChar w:fldCharType="end"/>
          </w:r>
        </w:p>
        <w:p w14:paraId="3171AE6B">
          <w:pPr>
            <w:pStyle w:val="11"/>
            <w:keepNext w:val="0"/>
            <w:keepLines w:val="0"/>
            <w:pageBreakBefore w:val="0"/>
            <w:widowControl/>
            <w:tabs>
              <w:tab w:val="right" w:leader="dot" w:pos="9341"/>
            </w:tabs>
            <w:kinsoku w:val="0"/>
            <w:wordWrap/>
            <w:overflowPunct/>
            <w:topLinePunct w:val="0"/>
            <w:autoSpaceDE w:val="0"/>
            <w:autoSpaceDN w:val="0"/>
            <w:bidi w:val="0"/>
            <w:adjustRightInd w:val="0"/>
            <w:snapToGrid w:val="0"/>
            <w:ind w:firstLine="0" w:firstLineChars="0"/>
            <w:textAlignment w:val="baseline"/>
            <w:rPr>
              <w:b/>
              <w:bCs/>
            </w:rPr>
          </w:pPr>
          <w:r>
            <w:rPr>
              <w:b/>
              <w:bCs/>
            </w:rPr>
            <w:fldChar w:fldCharType="begin"/>
          </w:r>
          <w:r>
            <w:rPr>
              <w:b/>
              <w:bCs/>
            </w:rPr>
            <w:instrText xml:space="preserve"> HYPERLINK \l _Toc74 </w:instrText>
          </w:r>
          <w:r>
            <w:rPr>
              <w:b/>
              <w:bCs/>
            </w:rPr>
            <w:fldChar w:fldCharType="separate"/>
          </w:r>
          <w:r>
            <w:rPr>
              <w:rFonts w:hint="eastAsia"/>
              <w:b/>
              <w:bCs/>
            </w:rPr>
            <w:t>八 、重大意见分歧的处理结果和依据</w:t>
          </w:r>
          <w:r>
            <w:rPr>
              <w:b/>
              <w:bCs/>
            </w:rPr>
            <w:tab/>
          </w:r>
          <w:r>
            <w:rPr>
              <w:b/>
              <w:bCs/>
            </w:rPr>
            <w:fldChar w:fldCharType="begin"/>
          </w:r>
          <w:r>
            <w:rPr>
              <w:b/>
              <w:bCs/>
            </w:rPr>
            <w:instrText xml:space="preserve"> PAGEREF _Toc74 \h </w:instrText>
          </w:r>
          <w:r>
            <w:rPr>
              <w:b/>
              <w:bCs/>
            </w:rPr>
            <w:fldChar w:fldCharType="separate"/>
          </w:r>
          <w:r>
            <w:rPr>
              <w:b/>
              <w:bCs/>
            </w:rPr>
            <w:t>19</w:t>
          </w:r>
          <w:r>
            <w:rPr>
              <w:b/>
              <w:bCs/>
            </w:rPr>
            <w:fldChar w:fldCharType="end"/>
          </w:r>
          <w:r>
            <w:rPr>
              <w:b/>
              <w:bCs/>
            </w:rPr>
            <w:fldChar w:fldCharType="end"/>
          </w:r>
        </w:p>
        <w:p w14:paraId="3C27C07D">
          <w:pPr>
            <w:pStyle w:val="11"/>
            <w:keepNext w:val="0"/>
            <w:keepLines w:val="0"/>
            <w:pageBreakBefore w:val="0"/>
            <w:widowControl/>
            <w:tabs>
              <w:tab w:val="right" w:leader="dot" w:pos="9341"/>
            </w:tabs>
            <w:kinsoku w:val="0"/>
            <w:wordWrap/>
            <w:overflowPunct/>
            <w:topLinePunct w:val="0"/>
            <w:autoSpaceDE w:val="0"/>
            <w:autoSpaceDN w:val="0"/>
            <w:bidi w:val="0"/>
            <w:adjustRightInd w:val="0"/>
            <w:snapToGrid w:val="0"/>
            <w:ind w:firstLine="0" w:firstLineChars="0"/>
            <w:textAlignment w:val="baseline"/>
            <w:rPr>
              <w:b/>
              <w:bCs/>
            </w:rPr>
          </w:pPr>
          <w:r>
            <w:rPr>
              <w:b/>
              <w:bCs/>
            </w:rPr>
            <w:fldChar w:fldCharType="begin"/>
          </w:r>
          <w:r>
            <w:rPr>
              <w:b/>
              <w:bCs/>
            </w:rPr>
            <w:instrText xml:space="preserve"> HYPERLINK \l _Toc28515 </w:instrText>
          </w:r>
          <w:r>
            <w:rPr>
              <w:b/>
              <w:bCs/>
            </w:rPr>
            <w:fldChar w:fldCharType="separate"/>
          </w:r>
          <w:r>
            <w:rPr>
              <w:rFonts w:hint="eastAsia"/>
              <w:b/>
              <w:bCs/>
            </w:rPr>
            <w:t>九 、作为推荐性国家标准的建议</w:t>
          </w:r>
          <w:r>
            <w:rPr>
              <w:b/>
              <w:bCs/>
            </w:rPr>
            <w:tab/>
          </w:r>
          <w:r>
            <w:rPr>
              <w:b/>
              <w:bCs/>
            </w:rPr>
            <w:fldChar w:fldCharType="begin"/>
          </w:r>
          <w:r>
            <w:rPr>
              <w:b/>
              <w:bCs/>
            </w:rPr>
            <w:instrText xml:space="preserve"> PAGEREF _Toc28515 \h </w:instrText>
          </w:r>
          <w:r>
            <w:rPr>
              <w:b/>
              <w:bCs/>
            </w:rPr>
            <w:fldChar w:fldCharType="separate"/>
          </w:r>
          <w:r>
            <w:rPr>
              <w:b/>
              <w:bCs/>
            </w:rPr>
            <w:t>19</w:t>
          </w:r>
          <w:r>
            <w:rPr>
              <w:b/>
              <w:bCs/>
            </w:rPr>
            <w:fldChar w:fldCharType="end"/>
          </w:r>
          <w:r>
            <w:rPr>
              <w:b/>
              <w:bCs/>
            </w:rPr>
            <w:fldChar w:fldCharType="end"/>
          </w:r>
        </w:p>
        <w:p w14:paraId="7F59F9DD">
          <w:pPr>
            <w:pStyle w:val="11"/>
            <w:keepNext w:val="0"/>
            <w:keepLines w:val="0"/>
            <w:pageBreakBefore w:val="0"/>
            <w:widowControl/>
            <w:tabs>
              <w:tab w:val="right" w:leader="dot" w:pos="9341"/>
            </w:tabs>
            <w:kinsoku w:val="0"/>
            <w:wordWrap/>
            <w:overflowPunct/>
            <w:topLinePunct w:val="0"/>
            <w:autoSpaceDE w:val="0"/>
            <w:autoSpaceDN w:val="0"/>
            <w:bidi w:val="0"/>
            <w:adjustRightInd w:val="0"/>
            <w:snapToGrid w:val="0"/>
            <w:ind w:firstLine="0" w:firstLineChars="0"/>
            <w:textAlignment w:val="baseline"/>
            <w:rPr>
              <w:b/>
              <w:bCs/>
            </w:rPr>
          </w:pPr>
          <w:r>
            <w:rPr>
              <w:b/>
              <w:bCs/>
            </w:rPr>
            <w:fldChar w:fldCharType="begin"/>
          </w:r>
          <w:r>
            <w:rPr>
              <w:b/>
              <w:bCs/>
            </w:rPr>
            <w:instrText xml:space="preserve"> HYPERLINK \l _Toc6650 </w:instrText>
          </w:r>
          <w:r>
            <w:rPr>
              <w:b/>
              <w:bCs/>
            </w:rPr>
            <w:fldChar w:fldCharType="separate"/>
          </w:r>
          <w:r>
            <w:rPr>
              <w:rFonts w:hint="eastAsia"/>
              <w:b/>
              <w:bCs/>
            </w:rPr>
            <w:t>十 、贯彻标准的要求和措施建议</w:t>
          </w:r>
          <w:r>
            <w:rPr>
              <w:b/>
              <w:bCs/>
            </w:rPr>
            <w:tab/>
          </w:r>
          <w:r>
            <w:rPr>
              <w:b/>
              <w:bCs/>
            </w:rPr>
            <w:fldChar w:fldCharType="begin"/>
          </w:r>
          <w:r>
            <w:rPr>
              <w:b/>
              <w:bCs/>
            </w:rPr>
            <w:instrText xml:space="preserve"> PAGEREF _Toc6650 \h </w:instrText>
          </w:r>
          <w:r>
            <w:rPr>
              <w:b/>
              <w:bCs/>
            </w:rPr>
            <w:fldChar w:fldCharType="separate"/>
          </w:r>
          <w:r>
            <w:rPr>
              <w:b/>
              <w:bCs/>
            </w:rPr>
            <w:t>19</w:t>
          </w:r>
          <w:r>
            <w:rPr>
              <w:b/>
              <w:bCs/>
            </w:rPr>
            <w:fldChar w:fldCharType="end"/>
          </w:r>
          <w:r>
            <w:rPr>
              <w:b/>
              <w:bCs/>
            </w:rPr>
            <w:fldChar w:fldCharType="end"/>
          </w:r>
        </w:p>
        <w:p w14:paraId="34F0AF05">
          <w:pPr>
            <w:pStyle w:val="11"/>
            <w:keepNext w:val="0"/>
            <w:keepLines w:val="0"/>
            <w:pageBreakBefore w:val="0"/>
            <w:widowControl/>
            <w:tabs>
              <w:tab w:val="right" w:leader="dot" w:pos="9341"/>
            </w:tabs>
            <w:kinsoku w:val="0"/>
            <w:wordWrap/>
            <w:overflowPunct/>
            <w:topLinePunct w:val="0"/>
            <w:autoSpaceDE w:val="0"/>
            <w:autoSpaceDN w:val="0"/>
            <w:bidi w:val="0"/>
            <w:adjustRightInd w:val="0"/>
            <w:snapToGrid w:val="0"/>
            <w:ind w:firstLine="0" w:firstLineChars="0"/>
            <w:textAlignment w:val="baseline"/>
            <w:rPr>
              <w:b/>
              <w:bCs/>
            </w:rPr>
          </w:pPr>
          <w:r>
            <w:rPr>
              <w:b/>
              <w:bCs/>
            </w:rPr>
            <w:fldChar w:fldCharType="begin"/>
          </w:r>
          <w:r>
            <w:rPr>
              <w:b/>
              <w:bCs/>
            </w:rPr>
            <w:instrText xml:space="preserve"> HYPERLINK \l _Toc13635 </w:instrText>
          </w:r>
          <w:r>
            <w:rPr>
              <w:b/>
              <w:bCs/>
            </w:rPr>
            <w:fldChar w:fldCharType="separate"/>
          </w:r>
          <w:r>
            <w:rPr>
              <w:rFonts w:hint="eastAsia"/>
              <w:b/>
              <w:bCs/>
            </w:rPr>
            <w:t>十一 、废止现行相关标准的建议</w:t>
          </w:r>
          <w:r>
            <w:rPr>
              <w:b/>
              <w:bCs/>
            </w:rPr>
            <w:tab/>
          </w:r>
          <w:r>
            <w:rPr>
              <w:b/>
              <w:bCs/>
            </w:rPr>
            <w:fldChar w:fldCharType="begin"/>
          </w:r>
          <w:r>
            <w:rPr>
              <w:b/>
              <w:bCs/>
            </w:rPr>
            <w:instrText xml:space="preserve"> PAGEREF _Toc13635 \h </w:instrText>
          </w:r>
          <w:r>
            <w:rPr>
              <w:b/>
              <w:bCs/>
            </w:rPr>
            <w:fldChar w:fldCharType="separate"/>
          </w:r>
          <w:r>
            <w:rPr>
              <w:b/>
              <w:bCs/>
            </w:rPr>
            <w:t>20</w:t>
          </w:r>
          <w:r>
            <w:rPr>
              <w:b/>
              <w:bCs/>
            </w:rPr>
            <w:fldChar w:fldCharType="end"/>
          </w:r>
          <w:r>
            <w:rPr>
              <w:b/>
              <w:bCs/>
            </w:rPr>
            <w:fldChar w:fldCharType="end"/>
          </w:r>
        </w:p>
        <w:p w14:paraId="3D4880E3">
          <w:pPr>
            <w:pStyle w:val="11"/>
            <w:keepNext w:val="0"/>
            <w:keepLines w:val="0"/>
            <w:pageBreakBefore w:val="0"/>
            <w:widowControl/>
            <w:tabs>
              <w:tab w:val="right" w:leader="dot" w:pos="9341"/>
            </w:tabs>
            <w:kinsoku w:val="0"/>
            <w:wordWrap/>
            <w:overflowPunct/>
            <w:topLinePunct w:val="0"/>
            <w:autoSpaceDE w:val="0"/>
            <w:autoSpaceDN w:val="0"/>
            <w:bidi w:val="0"/>
            <w:adjustRightInd w:val="0"/>
            <w:snapToGrid w:val="0"/>
            <w:ind w:firstLine="0" w:firstLineChars="0"/>
            <w:textAlignment w:val="baseline"/>
            <w:rPr>
              <w:b/>
              <w:bCs/>
            </w:rPr>
          </w:pPr>
          <w:r>
            <w:rPr>
              <w:b/>
              <w:bCs/>
            </w:rPr>
            <w:fldChar w:fldCharType="begin"/>
          </w:r>
          <w:r>
            <w:rPr>
              <w:b/>
              <w:bCs/>
            </w:rPr>
            <w:instrText xml:space="preserve"> HYPERLINK \l _Toc18991 </w:instrText>
          </w:r>
          <w:r>
            <w:rPr>
              <w:b/>
              <w:bCs/>
            </w:rPr>
            <w:fldChar w:fldCharType="separate"/>
          </w:r>
          <w:r>
            <w:rPr>
              <w:rFonts w:hint="eastAsia"/>
              <w:b/>
              <w:bCs/>
            </w:rPr>
            <w:t>十二 、其他应予说明的事项</w:t>
          </w:r>
          <w:r>
            <w:rPr>
              <w:b/>
              <w:bCs/>
            </w:rPr>
            <w:tab/>
          </w:r>
          <w:r>
            <w:rPr>
              <w:b/>
              <w:bCs/>
            </w:rPr>
            <w:fldChar w:fldCharType="begin"/>
          </w:r>
          <w:r>
            <w:rPr>
              <w:b/>
              <w:bCs/>
            </w:rPr>
            <w:instrText xml:space="preserve"> PAGEREF _Toc18991 \h </w:instrText>
          </w:r>
          <w:r>
            <w:rPr>
              <w:b/>
              <w:bCs/>
            </w:rPr>
            <w:fldChar w:fldCharType="separate"/>
          </w:r>
          <w:r>
            <w:rPr>
              <w:b/>
              <w:bCs/>
            </w:rPr>
            <w:t>20</w:t>
          </w:r>
          <w:r>
            <w:rPr>
              <w:b/>
              <w:bCs/>
            </w:rPr>
            <w:fldChar w:fldCharType="end"/>
          </w:r>
          <w:r>
            <w:rPr>
              <w:b/>
              <w:bCs/>
            </w:rPr>
            <w:fldChar w:fldCharType="end"/>
          </w:r>
        </w:p>
        <w:p w14:paraId="49980B82">
          <w:pPr>
            <w:pStyle w:val="11"/>
            <w:keepNext w:val="0"/>
            <w:keepLines w:val="0"/>
            <w:pageBreakBefore w:val="0"/>
            <w:widowControl/>
            <w:tabs>
              <w:tab w:val="right" w:leader="dot" w:pos="9341"/>
            </w:tabs>
            <w:kinsoku w:val="0"/>
            <w:wordWrap/>
            <w:overflowPunct/>
            <w:topLinePunct w:val="0"/>
            <w:autoSpaceDE w:val="0"/>
            <w:autoSpaceDN w:val="0"/>
            <w:bidi w:val="0"/>
            <w:adjustRightInd w:val="0"/>
            <w:snapToGrid w:val="0"/>
            <w:ind w:firstLine="0" w:firstLineChars="0"/>
            <w:textAlignment w:val="baseline"/>
          </w:pPr>
          <w:r>
            <w:rPr>
              <w:b/>
              <w:bCs/>
            </w:rPr>
            <w:fldChar w:fldCharType="begin"/>
          </w:r>
          <w:r>
            <w:rPr>
              <w:b/>
              <w:bCs/>
            </w:rPr>
            <w:instrText xml:space="preserve"> HYPERLINK \l _Toc28483 </w:instrText>
          </w:r>
          <w:r>
            <w:rPr>
              <w:b/>
              <w:bCs/>
            </w:rPr>
            <w:fldChar w:fldCharType="separate"/>
          </w:r>
          <w:r>
            <w:rPr>
              <w:rFonts w:hint="eastAsia"/>
              <w:b/>
              <w:bCs/>
            </w:rPr>
            <w:t>十三 、主要参考文献</w:t>
          </w:r>
          <w:r>
            <w:rPr>
              <w:b/>
              <w:bCs/>
            </w:rPr>
            <w:tab/>
          </w:r>
          <w:r>
            <w:rPr>
              <w:b/>
              <w:bCs/>
            </w:rPr>
            <w:fldChar w:fldCharType="begin"/>
          </w:r>
          <w:r>
            <w:rPr>
              <w:b/>
              <w:bCs/>
            </w:rPr>
            <w:instrText xml:space="preserve"> PAGEREF _Toc28483 \h </w:instrText>
          </w:r>
          <w:r>
            <w:rPr>
              <w:b/>
              <w:bCs/>
            </w:rPr>
            <w:fldChar w:fldCharType="separate"/>
          </w:r>
          <w:r>
            <w:rPr>
              <w:b/>
              <w:bCs/>
            </w:rPr>
            <w:t>20</w:t>
          </w:r>
          <w:r>
            <w:rPr>
              <w:b/>
              <w:bCs/>
            </w:rPr>
            <w:fldChar w:fldCharType="end"/>
          </w:r>
          <w:r>
            <w:rPr>
              <w:b/>
              <w:bCs/>
            </w:rPr>
            <w:fldChar w:fldCharType="end"/>
          </w:r>
        </w:p>
        <w:p w14:paraId="584D5CFD">
          <w:r>
            <w:fldChar w:fldCharType="end"/>
          </w:r>
        </w:p>
        <w:p w14:paraId="614D09B8">
          <w:pPr>
            <w:spacing w:line="236" w:lineRule="auto"/>
            <w:rPr>
              <w:rFonts w:ascii="Times New Roman" w:hAnsi="Times New Roman" w:eastAsia="Times New Roman" w:cs="Times New Roman"/>
              <w:snapToGrid w:val="0"/>
              <w:color w:val="000000"/>
              <w:kern w:val="0"/>
              <w:sz w:val="24"/>
              <w:szCs w:val="20"/>
              <w:lang w:val="en-US" w:eastAsia="en-US" w:bidi="ar-SA"/>
            </w:rPr>
          </w:pPr>
        </w:p>
      </w:sdtContent>
    </w:sdt>
    <w:p w14:paraId="36707840">
      <w:pPr>
        <w:pStyle w:val="2"/>
        <w:sectPr>
          <w:pgSz w:w="11906" w:h="16839"/>
          <w:pgMar w:top="1250" w:right="1143" w:bottom="0" w:left="1422" w:header="0" w:footer="0" w:gutter="0"/>
          <w:cols w:space="720" w:num="1"/>
        </w:sectPr>
      </w:pPr>
    </w:p>
    <w:p w14:paraId="3A561BC5">
      <w:pPr>
        <w:pStyle w:val="3"/>
        <w:bidi w:val="0"/>
        <w:rPr>
          <w:rFonts w:hint="eastAsia" w:ascii="宋体" w:hAnsi="宋体" w:eastAsia="宋体" w:cs="宋体"/>
        </w:rPr>
      </w:pPr>
      <w:bookmarkStart w:id="0" w:name="_Toc14126"/>
      <w:bookmarkStart w:id="1" w:name="_Toc8975"/>
      <w:r>
        <w:rPr>
          <w:rFonts w:hint="eastAsia"/>
        </w:rPr>
        <w:t>一</w:t>
      </w:r>
      <w:r>
        <w:rPr>
          <w:rFonts w:hint="eastAsia"/>
          <w:lang w:eastAsia="zh-CN"/>
        </w:rPr>
        <w:t>、</w:t>
      </w:r>
      <w:r>
        <w:rPr>
          <w:rFonts w:hint="eastAsia"/>
        </w:rPr>
        <w:t>工作简况</w:t>
      </w:r>
      <w:bookmarkEnd w:id="0"/>
      <w:bookmarkEnd w:id="1"/>
    </w:p>
    <w:p w14:paraId="1B6929EE">
      <w:pPr>
        <w:pStyle w:val="4"/>
        <w:bidi w:val="0"/>
        <w:rPr>
          <w:rFonts w:hint="eastAsia"/>
        </w:rPr>
      </w:pPr>
      <w:bookmarkStart w:id="2" w:name="bookmark27"/>
      <w:bookmarkEnd w:id="2"/>
      <w:bookmarkStart w:id="3" w:name="_Toc23276"/>
      <w:bookmarkStart w:id="4" w:name="_Toc8772"/>
      <w:r>
        <w:rPr>
          <w:rFonts w:hint="eastAsia"/>
        </w:rPr>
        <w:t>（一）任务来源</w:t>
      </w:r>
      <w:bookmarkEnd w:id="3"/>
      <w:bookmarkEnd w:id="4"/>
    </w:p>
    <w:p w14:paraId="69275DD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Times New Roman" w:hAnsi="Times New Roman" w:eastAsia="宋体" w:cs="宋体"/>
          <w:sz w:val="24"/>
          <w:szCs w:val="24"/>
        </w:rPr>
      </w:pPr>
      <w:r>
        <w:rPr>
          <w:rFonts w:hint="eastAsia" w:ascii="Times New Roman" w:hAnsi="Times New Roman" w:eastAsia="宋体" w:cs="宋体"/>
          <w:spacing w:val="-2"/>
          <w:sz w:val="24"/>
          <w:szCs w:val="24"/>
        </w:rPr>
        <w:t>202</w:t>
      </w:r>
      <w:r>
        <w:rPr>
          <w:rFonts w:hint="eastAsia" w:ascii="Times New Roman" w:hAnsi="Times New Roman" w:eastAsia="宋体" w:cs="宋体"/>
          <w:spacing w:val="-2"/>
          <w:sz w:val="24"/>
          <w:szCs w:val="24"/>
          <w:lang w:val="en-US" w:eastAsia="zh-CN"/>
        </w:rPr>
        <w:t>6</w:t>
      </w:r>
      <w:r>
        <w:rPr>
          <w:rFonts w:hint="eastAsia" w:ascii="Times New Roman" w:hAnsi="Times New Roman" w:eastAsia="宋体" w:cs="宋体"/>
          <w:spacing w:val="-2"/>
          <w:sz w:val="24"/>
          <w:szCs w:val="24"/>
        </w:rPr>
        <w:t>年</w:t>
      </w:r>
      <w:r>
        <w:rPr>
          <w:rFonts w:hint="eastAsia" w:ascii="Times New Roman" w:hAnsi="Times New Roman" w:eastAsia="宋体" w:cs="宋体"/>
          <w:spacing w:val="-2"/>
          <w:sz w:val="24"/>
          <w:szCs w:val="24"/>
          <w:lang w:val="en-US" w:eastAsia="zh-CN"/>
        </w:rPr>
        <w:t>4</w:t>
      </w:r>
      <w:r>
        <w:rPr>
          <w:rFonts w:hint="eastAsia" w:ascii="Times New Roman" w:hAnsi="Times New Roman" w:eastAsia="宋体" w:cs="宋体"/>
          <w:spacing w:val="-2"/>
          <w:sz w:val="24"/>
          <w:szCs w:val="24"/>
        </w:rPr>
        <w:t>月</w:t>
      </w:r>
      <w:r>
        <w:rPr>
          <w:rFonts w:hint="eastAsia" w:cs="宋体"/>
          <w:spacing w:val="-2"/>
          <w:sz w:val="24"/>
          <w:szCs w:val="24"/>
          <w:lang w:eastAsia="zh-CN"/>
        </w:rPr>
        <w:t>，</w:t>
      </w:r>
      <w:r>
        <w:rPr>
          <w:rFonts w:hint="eastAsia" w:ascii="Times New Roman" w:hAnsi="Times New Roman" w:eastAsia="宋体" w:cs="宋体"/>
          <w:spacing w:val="-2"/>
          <w:sz w:val="24"/>
          <w:szCs w:val="24"/>
        </w:rPr>
        <w:t>中国地理学会下达了</w:t>
      </w:r>
      <w:r>
        <w:rPr>
          <w:rFonts w:hint="eastAsia" w:ascii="Times New Roman" w:hAnsi="Times New Roman" w:eastAsia="宋体" w:cs="宋体"/>
          <w:spacing w:val="-3"/>
          <w:sz w:val="24"/>
          <w:szCs w:val="24"/>
        </w:rPr>
        <w:t>202</w:t>
      </w:r>
      <w:r>
        <w:rPr>
          <w:rFonts w:hint="eastAsia" w:ascii="Times New Roman" w:hAnsi="Times New Roman" w:cs="宋体"/>
          <w:spacing w:val="-3"/>
          <w:sz w:val="24"/>
          <w:szCs w:val="24"/>
          <w:lang w:val="en-US" w:eastAsia="zh-CN"/>
        </w:rPr>
        <w:t>6</w:t>
      </w:r>
      <w:r>
        <w:rPr>
          <w:rFonts w:hint="eastAsia" w:ascii="Times New Roman" w:hAnsi="Times New Roman" w:eastAsia="宋体" w:cs="宋体"/>
          <w:spacing w:val="-3"/>
          <w:sz w:val="24"/>
          <w:szCs w:val="24"/>
        </w:rPr>
        <w:t>年团体标准立项通知</w:t>
      </w:r>
      <w:r>
        <w:rPr>
          <w:rFonts w:hint="eastAsia" w:cs="宋体"/>
          <w:spacing w:val="-3"/>
          <w:sz w:val="24"/>
          <w:szCs w:val="24"/>
          <w:lang w:eastAsia="zh-CN"/>
        </w:rPr>
        <w:t>（</w:t>
      </w:r>
      <w:r>
        <w:rPr>
          <w:rFonts w:hint="eastAsia" w:ascii="Times New Roman" w:hAnsi="Times New Roman" w:eastAsia="宋体" w:cs="宋体"/>
          <w:spacing w:val="-3"/>
          <w:sz w:val="24"/>
          <w:szCs w:val="24"/>
        </w:rPr>
        <w:t>地理</w:t>
      </w:r>
      <w:r>
        <w:rPr>
          <w:rFonts w:hint="eastAsia" w:ascii="Times New Roman" w:hAnsi="Times New Roman" w:eastAsia="宋体" w:cs="宋体"/>
          <w:spacing w:val="-1"/>
          <w:sz w:val="24"/>
          <w:szCs w:val="24"/>
        </w:rPr>
        <w:t>会发字（202</w:t>
      </w:r>
      <w:r>
        <w:rPr>
          <w:rFonts w:hint="eastAsia" w:cs="宋体"/>
          <w:spacing w:val="-1"/>
          <w:sz w:val="24"/>
          <w:szCs w:val="24"/>
          <w:lang w:val="en-US" w:eastAsia="zh-CN"/>
        </w:rPr>
        <w:t>6</w:t>
      </w:r>
      <w:r>
        <w:rPr>
          <w:rFonts w:hint="eastAsia" w:ascii="Times New Roman" w:hAnsi="Times New Roman" w:eastAsia="宋体" w:cs="宋体"/>
          <w:spacing w:val="-1"/>
          <w:sz w:val="24"/>
          <w:szCs w:val="24"/>
        </w:rPr>
        <w:t>）</w:t>
      </w:r>
      <w:r>
        <w:rPr>
          <w:rFonts w:hint="eastAsia" w:cs="宋体"/>
          <w:spacing w:val="-26"/>
          <w:sz w:val="24"/>
          <w:szCs w:val="24"/>
          <w:lang w:val="en-US" w:eastAsia="zh-CN"/>
        </w:rPr>
        <w:t>05</w:t>
      </w:r>
      <w:r>
        <w:rPr>
          <w:rFonts w:hint="eastAsia" w:ascii="Times New Roman" w:hAnsi="Times New Roman" w:eastAsia="宋体" w:cs="宋体"/>
          <w:spacing w:val="-1"/>
          <w:sz w:val="24"/>
          <w:szCs w:val="24"/>
        </w:rPr>
        <w:t>号</w:t>
      </w:r>
      <w:r>
        <w:rPr>
          <w:rFonts w:hint="eastAsia" w:cs="宋体"/>
          <w:spacing w:val="-53"/>
          <w:w w:val="93"/>
          <w:sz w:val="24"/>
          <w:szCs w:val="24"/>
          <w:lang w:eastAsia="zh-CN"/>
        </w:rPr>
        <w:t>）</w:t>
      </w:r>
      <w:r>
        <w:rPr>
          <w:rFonts w:hint="eastAsia" w:ascii="Times New Roman" w:hAnsi="Times New Roman" w:eastAsia="宋体" w:cs="宋体"/>
          <w:spacing w:val="-53"/>
          <w:w w:val="93"/>
          <w:sz w:val="24"/>
          <w:szCs w:val="24"/>
        </w:rPr>
        <w:t>，</w:t>
      </w:r>
      <w:r>
        <w:rPr>
          <w:rFonts w:hint="eastAsia" w:ascii="Times New Roman" w:hAnsi="Times New Roman" w:eastAsia="宋体" w:cs="宋体"/>
          <w:spacing w:val="-42"/>
          <w:sz w:val="24"/>
          <w:szCs w:val="24"/>
        </w:rPr>
        <w:t xml:space="preserve"> </w:t>
      </w:r>
      <w:r>
        <w:rPr>
          <w:rFonts w:hint="eastAsia" w:ascii="Times New Roman" w:hAnsi="Times New Roman" w:eastAsia="宋体" w:cs="宋体"/>
          <w:spacing w:val="-1"/>
          <w:sz w:val="24"/>
          <w:szCs w:val="24"/>
        </w:rPr>
        <w:t>批准了《</w:t>
      </w:r>
      <w:r>
        <w:rPr>
          <w:rFonts w:hint="eastAsia" w:cs="宋体"/>
          <w:spacing w:val="-1"/>
          <w:sz w:val="24"/>
          <w:szCs w:val="24"/>
          <w:lang w:val="en-US" w:eastAsia="zh-CN"/>
        </w:rPr>
        <w:t>地标生境 郧阳油橄榄北亚热带低山丘陵案例</w:t>
      </w:r>
      <w:r>
        <w:rPr>
          <w:rFonts w:hint="eastAsia" w:ascii="Times New Roman" w:hAnsi="Times New Roman" w:eastAsia="宋体" w:cs="宋体"/>
          <w:spacing w:val="-1"/>
          <w:sz w:val="24"/>
          <w:szCs w:val="24"/>
        </w:rPr>
        <w:t>》团体标准编制项目，计划标准编号为 T/ZGDLXH JH-00</w:t>
      </w:r>
      <w:r>
        <w:rPr>
          <w:rFonts w:hint="eastAsia" w:cs="宋体"/>
          <w:spacing w:val="-1"/>
          <w:sz w:val="24"/>
          <w:szCs w:val="24"/>
          <w:lang w:val="en-US" w:eastAsia="zh-CN"/>
        </w:rPr>
        <w:t>8</w:t>
      </w:r>
      <w:r>
        <w:rPr>
          <w:rFonts w:hint="eastAsia" w:ascii="Times New Roman" w:hAnsi="Times New Roman" w:eastAsia="宋体" w:cs="宋体"/>
          <w:spacing w:val="-1"/>
          <w:sz w:val="24"/>
          <w:szCs w:val="24"/>
        </w:rPr>
        <w:t>-202</w:t>
      </w:r>
      <w:r>
        <w:rPr>
          <w:rFonts w:hint="eastAsia" w:cs="宋体"/>
          <w:spacing w:val="-1"/>
          <w:sz w:val="24"/>
          <w:szCs w:val="24"/>
          <w:lang w:val="en-US" w:eastAsia="zh-CN"/>
        </w:rPr>
        <w:t>5</w:t>
      </w:r>
      <w:r>
        <w:rPr>
          <w:rFonts w:hint="eastAsia" w:ascii="Times New Roman" w:hAnsi="Times New Roman" w:eastAsia="宋体" w:cs="宋体"/>
          <w:spacing w:val="-1"/>
          <w:sz w:val="24"/>
          <w:szCs w:val="24"/>
        </w:rPr>
        <w:t>，正式</w:t>
      </w:r>
      <w:r>
        <w:rPr>
          <w:rFonts w:hint="eastAsia" w:ascii="Times New Roman" w:hAnsi="Times New Roman" w:eastAsia="宋体" w:cs="宋体"/>
          <w:spacing w:val="-2"/>
          <w:sz w:val="24"/>
          <w:szCs w:val="24"/>
        </w:rPr>
        <w:t>委托中国科学院</w:t>
      </w:r>
      <w:r>
        <w:rPr>
          <w:rFonts w:hint="eastAsia" w:cs="宋体"/>
          <w:spacing w:val="-2"/>
          <w:sz w:val="24"/>
          <w:szCs w:val="24"/>
          <w:lang w:val="en-US" w:eastAsia="zh-CN"/>
        </w:rPr>
        <w:t>地理科学与资源</w:t>
      </w:r>
      <w:r>
        <w:rPr>
          <w:rFonts w:hint="eastAsia" w:ascii="Times New Roman" w:hAnsi="Times New Roman" w:eastAsia="宋体" w:cs="宋体"/>
          <w:spacing w:val="-2"/>
          <w:sz w:val="24"/>
          <w:szCs w:val="24"/>
        </w:rPr>
        <w:t>研究所</w:t>
      </w:r>
      <w:r>
        <w:rPr>
          <w:rFonts w:hint="eastAsia" w:ascii="Times New Roman" w:hAnsi="Times New Roman" w:eastAsia="宋体" w:cs="宋体"/>
          <w:spacing w:val="-1"/>
          <w:sz w:val="24"/>
          <w:szCs w:val="24"/>
        </w:rPr>
        <w:t>牵头完成本标准的编制工作。</w:t>
      </w:r>
    </w:p>
    <w:p w14:paraId="27DEC5E8">
      <w:pPr>
        <w:pStyle w:val="4"/>
        <w:bidi w:val="0"/>
        <w:rPr>
          <w:rFonts w:hint="eastAsia"/>
        </w:rPr>
      </w:pPr>
      <w:bookmarkStart w:id="5" w:name="_Toc8350"/>
      <w:bookmarkStart w:id="6" w:name="_Toc13895"/>
      <w:r>
        <w:rPr>
          <w:rFonts w:hint="eastAsia"/>
        </w:rPr>
        <w:t>（二）经费说明</w:t>
      </w:r>
      <w:bookmarkEnd w:id="5"/>
      <w:bookmarkEnd w:id="6"/>
    </w:p>
    <w:p w14:paraId="43AACABD">
      <w:pPr>
        <w:bidi w:val="0"/>
        <w:rPr>
          <w:rFonts w:hint="eastAsia"/>
          <w:color w:val="auto"/>
        </w:rPr>
      </w:pPr>
      <w:r>
        <w:rPr>
          <w:rFonts w:hint="eastAsia"/>
          <w:color w:val="auto"/>
          <w:lang w:val="en-US" w:eastAsia="zh-CN"/>
        </w:rPr>
        <w:t>经费总计 17 万元，具体分配如下：材料费 0.8 万元（标准及相关资料查询和购置）、会议费 1.4 万元（召开标准研讨会）、劳务费 8.1 万元（参与标准撰写劳务费）、差旅费 2.8 万元、专家咨询费 1.5 万元、公告费 0.4 万元、印刷费 0.8万元（相关文本的打印等费用）、宣传推广费 1.2 万元</w:t>
      </w:r>
      <w:r>
        <w:rPr>
          <w:rFonts w:hint="eastAsia"/>
          <w:color w:val="auto"/>
        </w:rPr>
        <w:t>。</w:t>
      </w:r>
    </w:p>
    <w:p w14:paraId="1E0787FC">
      <w:pPr>
        <w:pStyle w:val="4"/>
        <w:bidi w:val="0"/>
        <w:rPr>
          <w:rFonts w:hint="eastAsia"/>
        </w:rPr>
      </w:pPr>
      <w:bookmarkStart w:id="7" w:name="_Toc22513"/>
      <w:bookmarkStart w:id="8" w:name="_Toc11784"/>
      <w:r>
        <w:rPr>
          <w:rFonts w:hint="eastAsia"/>
        </w:rPr>
        <w:t>（三）起草单位及编制组成员</w:t>
      </w:r>
      <w:bookmarkEnd w:id="7"/>
      <w:bookmarkEnd w:id="8"/>
    </w:p>
    <w:p w14:paraId="10F8766A">
      <w:pPr>
        <w:keepNext w:val="0"/>
        <w:keepLines w:val="0"/>
        <w:pageBreakBefore w:val="0"/>
        <w:widowControl w:val="0"/>
        <w:kinsoku/>
        <w:wordWrap/>
        <w:overflowPunct/>
        <w:topLinePunct w:val="0"/>
        <w:autoSpaceDE/>
        <w:autoSpaceDN/>
        <w:bidi w:val="0"/>
        <w:adjustRightInd/>
        <w:snapToGrid/>
        <w:textAlignment w:val="auto"/>
        <w:rPr>
          <w:rFonts w:hint="eastAsia"/>
          <w:lang w:eastAsia="zh-CN"/>
        </w:rPr>
      </w:pPr>
      <w:r>
        <w:rPr>
          <w:rFonts w:hint="eastAsia"/>
        </w:rPr>
        <w:t>本标准编制工作在中国地理学会和</w:t>
      </w:r>
      <w:r>
        <w:rPr>
          <w:rFonts w:hint="eastAsia"/>
          <w:lang w:val="en-US" w:eastAsia="zh-CN"/>
        </w:rPr>
        <w:t>中国科学院地理科学与资源研究所</w:t>
      </w:r>
      <w:r>
        <w:rPr>
          <w:rFonts w:hint="eastAsia"/>
        </w:rPr>
        <w:t>的共同指导下，由</w:t>
      </w:r>
      <w:r>
        <w:rPr>
          <w:rFonts w:hint="eastAsia"/>
          <w:lang w:val="en-US" w:eastAsia="zh-CN"/>
        </w:rPr>
        <w:t>4</w:t>
      </w:r>
      <w:r>
        <w:rPr>
          <w:rFonts w:hint="eastAsia"/>
        </w:rPr>
        <w:t>家单位</w:t>
      </w:r>
      <w:r>
        <w:rPr>
          <w:rFonts w:hint="eastAsia"/>
          <w:lang w:val="en-US" w:eastAsia="zh-CN"/>
        </w:rPr>
        <w:t>和企业</w:t>
      </w:r>
      <w:r>
        <w:rPr>
          <w:rFonts w:hint="eastAsia"/>
        </w:rPr>
        <w:t>共同承担完成。起草单位</w:t>
      </w:r>
      <w:r>
        <w:rPr>
          <w:rFonts w:hint="eastAsia"/>
          <w:lang w:val="en-US" w:eastAsia="zh-CN"/>
        </w:rPr>
        <w:t>和企业</w:t>
      </w:r>
      <w:r>
        <w:rPr>
          <w:rFonts w:hint="eastAsia"/>
        </w:rPr>
        <w:t>充分考虑了行业代表性、</w:t>
      </w:r>
      <w:r>
        <w:rPr>
          <w:rFonts w:hint="eastAsia"/>
          <w:lang w:val="en-US" w:eastAsia="zh-CN"/>
        </w:rPr>
        <w:t>技术</w:t>
      </w:r>
      <w:r>
        <w:rPr>
          <w:rFonts w:hint="eastAsia"/>
        </w:rPr>
        <w:t>代表性和地域代表性等多重因素</w:t>
      </w:r>
      <w:r>
        <w:rPr>
          <w:rFonts w:hint="eastAsia"/>
          <w:lang w:eastAsia="zh-CN"/>
        </w:rPr>
        <w:t>，</w:t>
      </w:r>
      <w:r>
        <w:rPr>
          <w:rFonts w:hint="eastAsia"/>
        </w:rPr>
        <w:t>涵盖了国内地理科学领域的顶尖科研机构、</w:t>
      </w:r>
      <w:r>
        <w:rPr>
          <w:rFonts w:hint="eastAsia"/>
          <w:lang w:val="en-US" w:eastAsia="zh-CN"/>
        </w:rPr>
        <w:t>地方政府和当地龙头企业</w:t>
      </w:r>
      <w:r>
        <w:rPr>
          <w:rFonts w:hint="eastAsia"/>
          <w:lang w:eastAsia="zh-CN"/>
        </w:rPr>
        <w:t>，从理论科研支撑、政策支持、技术落地</w:t>
      </w:r>
      <w:r>
        <w:rPr>
          <w:rFonts w:hint="eastAsia"/>
          <w:lang w:val="en-US" w:eastAsia="zh-CN"/>
        </w:rPr>
        <w:t>到</w:t>
      </w:r>
      <w:r>
        <w:rPr>
          <w:rFonts w:hint="eastAsia"/>
          <w:lang w:eastAsia="zh-CN"/>
        </w:rPr>
        <w:t>标准示范等多环节已开展大量扎实的前期工作，为本项目的顺利推进奠定了坚实基础。</w:t>
      </w:r>
    </w:p>
    <w:p w14:paraId="5BF77027">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编制组由</w:t>
      </w:r>
      <w:r>
        <w:rPr>
          <w:rFonts w:hint="eastAsia"/>
          <w:lang w:val="en-US" w:eastAsia="zh-CN"/>
        </w:rPr>
        <w:t>10</w:t>
      </w:r>
      <w:r>
        <w:rPr>
          <w:rFonts w:hint="eastAsia"/>
        </w:rPr>
        <w:t>位专家学者</w:t>
      </w:r>
      <w:r>
        <w:rPr>
          <w:rFonts w:hint="eastAsia"/>
          <w:lang w:val="en-US" w:eastAsia="zh-CN"/>
        </w:rPr>
        <w:t>与工作人员</w:t>
      </w:r>
      <w:r>
        <w:rPr>
          <w:rFonts w:hint="eastAsia"/>
        </w:rPr>
        <w:t>组成，起草单位及编制组成员具体名单如下：</w:t>
      </w:r>
    </w:p>
    <w:p w14:paraId="3888EAFA">
      <w:pPr>
        <w:pStyle w:val="2"/>
        <w:rPr>
          <w:rFonts w:hint="eastAsia"/>
        </w:rPr>
      </w:pPr>
      <w:r>
        <w:rPr>
          <w:rFonts w:hint="eastAsia"/>
          <w:b/>
          <w:bCs/>
        </w:rPr>
        <w:t>中国科学院地理科学与资源研究所：</w:t>
      </w:r>
      <w:r>
        <w:rPr>
          <w:rFonts w:hint="eastAsia"/>
        </w:rPr>
        <w:t>宋献方、</w:t>
      </w:r>
      <w:r>
        <w:rPr>
          <w:rFonts w:hint="eastAsia"/>
          <w:lang w:val="en-US" w:eastAsia="zh-CN"/>
        </w:rPr>
        <w:t>胡实、</w:t>
      </w:r>
      <w:r>
        <w:rPr>
          <w:rFonts w:hint="eastAsia"/>
        </w:rPr>
        <w:t>杨丽虎、</w:t>
      </w:r>
      <w:r>
        <w:rPr>
          <w:rFonts w:hint="eastAsia"/>
          <w:lang w:val="en-US" w:eastAsia="zh-CN"/>
        </w:rPr>
        <w:t>蒋超</w:t>
      </w:r>
    </w:p>
    <w:p w14:paraId="3DAD3105">
      <w:pPr>
        <w:pStyle w:val="2"/>
        <w:rPr>
          <w:rFonts w:hint="eastAsia"/>
        </w:rPr>
      </w:pPr>
      <w:r>
        <w:rPr>
          <w:rFonts w:hint="eastAsia"/>
          <w:b/>
          <w:bCs/>
        </w:rPr>
        <w:t>湖北省油橄榄产业技术研究院：</w:t>
      </w:r>
      <w:r>
        <w:rPr>
          <w:rFonts w:hint="eastAsia"/>
        </w:rPr>
        <w:t>赵翼铭</w:t>
      </w:r>
    </w:p>
    <w:p w14:paraId="0CBF31DE">
      <w:pPr>
        <w:pStyle w:val="2"/>
        <w:rPr>
          <w:rFonts w:hint="eastAsia"/>
        </w:rPr>
      </w:pPr>
      <w:r>
        <w:rPr>
          <w:rFonts w:hint="eastAsia"/>
          <w:b/>
          <w:bCs/>
        </w:rPr>
        <w:t>郧阳区油橄榄产业链办公室：</w:t>
      </w:r>
      <w:r>
        <w:rPr>
          <w:rFonts w:hint="eastAsia"/>
        </w:rPr>
        <w:t>胡士强、余祥伟、刘小林</w:t>
      </w:r>
    </w:p>
    <w:p w14:paraId="56741272">
      <w:pPr>
        <w:pStyle w:val="2"/>
        <w:rPr>
          <w:rFonts w:hint="eastAsia"/>
        </w:rPr>
      </w:pPr>
      <w:r>
        <w:rPr>
          <w:rFonts w:hint="eastAsia"/>
          <w:b/>
          <w:bCs/>
        </w:rPr>
        <w:t>湖北鑫榄源油橄榄科技有限公司：</w:t>
      </w:r>
      <w:r>
        <w:rPr>
          <w:rFonts w:hint="eastAsia"/>
        </w:rPr>
        <w:t>朱瑾艳、谢渊博</w:t>
      </w:r>
    </w:p>
    <w:p w14:paraId="48EBEF73">
      <w:pPr>
        <w:pStyle w:val="2"/>
        <w:rPr>
          <w:rFonts w:hint="eastAsia" w:eastAsia="宋体"/>
          <w:lang w:val="en-US" w:eastAsia="zh-CN"/>
        </w:rPr>
      </w:pPr>
      <w:r>
        <w:rPr>
          <w:rFonts w:hint="eastAsia"/>
          <w:lang w:val="en-US" w:eastAsia="zh-CN"/>
        </w:rPr>
        <w:t>具体分工如下：</w:t>
      </w:r>
    </w:p>
    <w:p w14:paraId="5C89BF44">
      <w:pPr>
        <w:pStyle w:val="2"/>
        <w:rPr>
          <w:rFonts w:hint="eastAsia"/>
        </w:rPr>
      </w:pPr>
      <w:r>
        <w:rPr>
          <w:rFonts w:hint="eastAsia"/>
        </w:rPr>
        <w:t>1.标准总体设计与协调</w:t>
      </w:r>
    </w:p>
    <w:p w14:paraId="46102FC7">
      <w:pPr>
        <w:pStyle w:val="2"/>
        <w:rPr>
          <w:rFonts w:hint="eastAsia"/>
        </w:rPr>
      </w:pPr>
      <w:r>
        <w:rPr>
          <w:rFonts w:hint="eastAsia"/>
        </w:rPr>
        <w:t>负责标准总体框架设计、技术路线确定、组织协调、编制过程管理及专家意见汇总。</w:t>
      </w:r>
    </w:p>
    <w:p w14:paraId="714D3DA1">
      <w:pPr>
        <w:pStyle w:val="2"/>
        <w:rPr>
          <w:rFonts w:hint="eastAsia"/>
        </w:rPr>
      </w:pPr>
      <w:r>
        <w:rPr>
          <w:rFonts w:hint="eastAsia"/>
        </w:rPr>
        <w:t>负责人：</w:t>
      </w:r>
    </w:p>
    <w:p w14:paraId="19BF2BAA">
      <w:pPr>
        <w:pStyle w:val="2"/>
        <w:rPr>
          <w:rFonts w:hint="eastAsia"/>
        </w:rPr>
      </w:pPr>
      <w:r>
        <w:rPr>
          <w:rFonts w:hint="eastAsia"/>
        </w:rPr>
        <w:t>中国科学院地理科学与资源研究所：宋献方、胡实、杨丽虎、蒋超</w:t>
      </w:r>
    </w:p>
    <w:p w14:paraId="491DC875">
      <w:pPr>
        <w:pStyle w:val="2"/>
        <w:rPr>
          <w:rFonts w:hint="eastAsia"/>
          <w:b w:val="0"/>
          <w:bCs w:val="0"/>
        </w:rPr>
      </w:pPr>
      <w:r>
        <w:rPr>
          <w:rFonts w:hint="eastAsia"/>
          <w:b w:val="0"/>
          <w:bCs w:val="0"/>
        </w:rPr>
        <w:t>湖北省油橄榄产业技术研究院：赵翼铭</w:t>
      </w:r>
    </w:p>
    <w:p w14:paraId="07BA48E7">
      <w:pPr>
        <w:pStyle w:val="2"/>
        <w:rPr>
          <w:rFonts w:hint="eastAsia"/>
          <w:b w:val="0"/>
          <w:bCs w:val="0"/>
        </w:rPr>
      </w:pPr>
      <w:r>
        <w:rPr>
          <w:rFonts w:hint="eastAsia"/>
          <w:b w:val="0"/>
          <w:bCs w:val="0"/>
        </w:rPr>
        <w:t>郧阳区油橄榄产业链办公室：胡士强、余祥伟、刘小林</w:t>
      </w:r>
    </w:p>
    <w:p w14:paraId="45AEE572">
      <w:pPr>
        <w:pStyle w:val="2"/>
        <w:rPr>
          <w:rFonts w:hint="eastAsia"/>
          <w:b w:val="0"/>
          <w:bCs w:val="0"/>
        </w:rPr>
      </w:pPr>
      <w:r>
        <w:rPr>
          <w:rFonts w:hint="eastAsia"/>
          <w:b w:val="0"/>
          <w:bCs w:val="0"/>
        </w:rPr>
        <w:t>2.</w:t>
      </w:r>
      <w:r>
        <w:rPr>
          <w:rFonts w:hint="eastAsia"/>
          <w:b w:val="0"/>
          <w:bCs w:val="0"/>
          <w:lang w:val="en-US" w:eastAsia="zh-CN"/>
        </w:rPr>
        <w:t>保护范围与生境</w:t>
      </w:r>
      <w:r>
        <w:rPr>
          <w:rFonts w:hint="eastAsia"/>
          <w:b w:val="0"/>
          <w:bCs w:val="0"/>
        </w:rPr>
        <w:t>调查</w:t>
      </w:r>
    </w:p>
    <w:p w14:paraId="622FFCDD">
      <w:pPr>
        <w:pStyle w:val="2"/>
        <w:rPr>
          <w:rFonts w:hint="eastAsia"/>
        </w:rPr>
      </w:pPr>
      <w:r>
        <w:rPr>
          <w:rFonts w:hint="eastAsia"/>
        </w:rPr>
        <w:t>负责郧阳油橄榄种植区空间分布调查，开展行政区划、地形地貌、气候、土壤、水环境、植被覆盖和土地利用分析，绘制保护范围图并提出生境指标及其阈值依据。</w:t>
      </w:r>
    </w:p>
    <w:p w14:paraId="2DEBAD61">
      <w:pPr>
        <w:pStyle w:val="2"/>
        <w:rPr>
          <w:rFonts w:hint="eastAsia"/>
        </w:rPr>
      </w:pPr>
      <w:r>
        <w:rPr>
          <w:rFonts w:hint="eastAsia"/>
        </w:rPr>
        <w:t>负责人：</w:t>
      </w:r>
    </w:p>
    <w:p w14:paraId="03D114D8">
      <w:pPr>
        <w:pStyle w:val="2"/>
        <w:rPr>
          <w:rFonts w:hint="eastAsia"/>
        </w:rPr>
      </w:pPr>
      <w:r>
        <w:rPr>
          <w:rFonts w:hint="eastAsia"/>
        </w:rPr>
        <w:t>中国科学院地理科学与资源研究所：胡实、杨丽虎、蒋超</w:t>
      </w:r>
    </w:p>
    <w:p w14:paraId="78CA8C37">
      <w:pPr>
        <w:pStyle w:val="2"/>
        <w:rPr>
          <w:rFonts w:hint="eastAsia"/>
        </w:rPr>
      </w:pPr>
      <w:r>
        <w:rPr>
          <w:rFonts w:hint="eastAsia"/>
        </w:rPr>
        <w:t>湖北省油橄榄产业技术研究院：赵翼铭</w:t>
      </w:r>
    </w:p>
    <w:p w14:paraId="2B8BC3CA">
      <w:pPr>
        <w:pStyle w:val="2"/>
        <w:rPr>
          <w:rFonts w:hint="eastAsia"/>
        </w:rPr>
      </w:pPr>
      <w:r>
        <w:rPr>
          <w:rFonts w:hint="eastAsia"/>
        </w:rPr>
        <w:t>郧阳区油橄榄产业链办公室：余祥伟、刘小林</w:t>
      </w:r>
    </w:p>
    <w:p w14:paraId="099D9CBC">
      <w:pPr>
        <w:pStyle w:val="2"/>
        <w:rPr>
          <w:rFonts w:hint="eastAsia"/>
        </w:rPr>
      </w:pPr>
      <w:r>
        <w:rPr>
          <w:rFonts w:hint="eastAsia"/>
        </w:rPr>
        <w:t>3.品种与栽培技术研究</w:t>
      </w:r>
    </w:p>
    <w:p w14:paraId="7DAD1B06">
      <w:pPr>
        <w:pStyle w:val="2"/>
        <w:rPr>
          <w:rFonts w:hint="eastAsia"/>
        </w:rPr>
      </w:pPr>
      <w:r>
        <w:rPr>
          <w:rFonts w:hint="eastAsia"/>
        </w:rPr>
        <w:t>负责适生品种和授粉品种配置、苗木质量、土肥水管理、整形修剪、花果管理、越冬防护、病虫草害防治及山地果园水土保持等条款的调查与编制。</w:t>
      </w:r>
    </w:p>
    <w:p w14:paraId="0987EF80">
      <w:pPr>
        <w:pStyle w:val="2"/>
        <w:rPr>
          <w:rFonts w:hint="eastAsia"/>
        </w:rPr>
      </w:pPr>
      <w:r>
        <w:rPr>
          <w:rFonts w:hint="eastAsia"/>
        </w:rPr>
        <w:t>负责人：</w:t>
      </w:r>
    </w:p>
    <w:p w14:paraId="4C356844">
      <w:pPr>
        <w:pStyle w:val="2"/>
        <w:rPr>
          <w:rFonts w:hint="default" w:eastAsia="宋体"/>
          <w:lang w:val="en-US" w:eastAsia="zh-CN"/>
        </w:rPr>
      </w:pPr>
      <w:r>
        <w:rPr>
          <w:rFonts w:hint="eastAsia"/>
        </w:rPr>
        <w:t>中国科学院地理科学与资源研究所：杨丽虎</w:t>
      </w:r>
      <w:r>
        <w:rPr>
          <w:rFonts w:hint="eastAsia"/>
          <w:lang w:eastAsia="zh-CN"/>
        </w:rPr>
        <w:t>、</w:t>
      </w:r>
      <w:r>
        <w:rPr>
          <w:rFonts w:hint="eastAsia"/>
          <w:lang w:val="en-US" w:eastAsia="zh-CN"/>
        </w:rPr>
        <w:t>蒋超</w:t>
      </w:r>
    </w:p>
    <w:p w14:paraId="62A6EADC">
      <w:pPr>
        <w:pStyle w:val="2"/>
        <w:rPr>
          <w:rFonts w:hint="eastAsia"/>
        </w:rPr>
      </w:pPr>
      <w:r>
        <w:rPr>
          <w:rFonts w:hint="eastAsia"/>
          <w:b w:val="0"/>
          <w:bCs w:val="0"/>
        </w:rPr>
        <w:t>湖北省油橄榄产业技术研究院：赵翼铭</w:t>
      </w:r>
    </w:p>
    <w:p w14:paraId="77EE4981">
      <w:pPr>
        <w:pStyle w:val="2"/>
        <w:rPr>
          <w:rFonts w:hint="eastAsia"/>
        </w:rPr>
      </w:pPr>
      <w:r>
        <w:rPr>
          <w:rFonts w:hint="eastAsia"/>
        </w:rPr>
        <w:t>4.采收、加工与产品质量研究</w:t>
      </w:r>
    </w:p>
    <w:p w14:paraId="5679BC25">
      <w:pPr>
        <w:pStyle w:val="2"/>
        <w:rPr>
          <w:rFonts w:hint="eastAsia"/>
        </w:rPr>
      </w:pPr>
      <w:r>
        <w:rPr>
          <w:rFonts w:hint="eastAsia"/>
        </w:rPr>
        <w:t>负责油橄榄鲜果成熟度评价、采收与采后处理、原料验收、加工时效、压榨与储存、橄榄油感官和理化质量等条款的技术论证。</w:t>
      </w:r>
    </w:p>
    <w:p w14:paraId="1F99D3DB">
      <w:pPr>
        <w:pStyle w:val="2"/>
        <w:rPr>
          <w:rFonts w:hint="eastAsia"/>
        </w:rPr>
      </w:pPr>
      <w:r>
        <w:rPr>
          <w:rFonts w:hint="eastAsia"/>
        </w:rPr>
        <w:t>负责人：</w:t>
      </w:r>
    </w:p>
    <w:p w14:paraId="16A64809">
      <w:pPr>
        <w:pStyle w:val="2"/>
        <w:rPr>
          <w:rFonts w:hint="eastAsia"/>
        </w:rPr>
      </w:pPr>
      <w:r>
        <w:rPr>
          <w:rFonts w:hint="eastAsia"/>
        </w:rPr>
        <w:t>郧阳区油橄榄产业链办公室：胡士强、余祥伟、刘小林</w:t>
      </w:r>
    </w:p>
    <w:p w14:paraId="1D7BB566">
      <w:pPr>
        <w:pStyle w:val="2"/>
        <w:rPr>
          <w:rFonts w:hint="eastAsia"/>
        </w:rPr>
      </w:pPr>
      <w:r>
        <w:rPr>
          <w:rFonts w:hint="eastAsia"/>
        </w:rPr>
        <w:t>湖北鑫榄源油橄榄科技有限公司：朱瑾艳、谢渊博</w:t>
      </w:r>
    </w:p>
    <w:p w14:paraId="47C2AA2E">
      <w:pPr>
        <w:pStyle w:val="2"/>
        <w:rPr>
          <w:rFonts w:hint="eastAsia"/>
        </w:rPr>
      </w:pPr>
      <w:r>
        <w:rPr>
          <w:rFonts w:hint="eastAsia"/>
        </w:rPr>
        <w:t>5.检验方法与规则</w:t>
      </w:r>
    </w:p>
    <w:p w14:paraId="5845AAED">
      <w:pPr>
        <w:pStyle w:val="2"/>
        <w:rPr>
          <w:rFonts w:hint="eastAsia"/>
        </w:rPr>
      </w:pPr>
      <w:r>
        <w:rPr>
          <w:rFonts w:hint="eastAsia"/>
        </w:rPr>
        <w:t>负责土壤、水质、鲜果和橄榄油检测数据整理，核实各项检验方法，编制组批、抽样、出厂检验、型式检验、判定和复检规则。</w:t>
      </w:r>
    </w:p>
    <w:p w14:paraId="012EA8F8">
      <w:pPr>
        <w:pStyle w:val="2"/>
        <w:rPr>
          <w:rFonts w:hint="eastAsia"/>
        </w:rPr>
      </w:pPr>
      <w:r>
        <w:rPr>
          <w:rFonts w:hint="eastAsia"/>
        </w:rPr>
        <w:t>负责人：</w:t>
      </w:r>
    </w:p>
    <w:p w14:paraId="31D3834B">
      <w:pPr>
        <w:pStyle w:val="2"/>
        <w:rPr>
          <w:rFonts w:hint="eastAsia"/>
        </w:rPr>
      </w:pPr>
      <w:r>
        <w:rPr>
          <w:rFonts w:hint="eastAsia"/>
        </w:rPr>
        <w:t>中国科学院地理科学与资源研究所：</w:t>
      </w:r>
      <w:r>
        <w:rPr>
          <w:rFonts w:hint="eastAsia"/>
          <w:lang w:val="en-US" w:eastAsia="zh-CN"/>
        </w:rPr>
        <w:t>蒋超</w:t>
      </w:r>
    </w:p>
    <w:p w14:paraId="217D5411">
      <w:pPr>
        <w:pStyle w:val="2"/>
        <w:rPr>
          <w:rFonts w:hint="eastAsia"/>
        </w:rPr>
      </w:pPr>
      <w:r>
        <w:rPr>
          <w:rFonts w:hint="eastAsia"/>
        </w:rPr>
        <w:t>湖北省油橄榄产业技术研究院：赵翼铭</w:t>
      </w:r>
    </w:p>
    <w:p w14:paraId="4D25D8D3">
      <w:pPr>
        <w:pStyle w:val="2"/>
        <w:rPr>
          <w:rFonts w:hint="eastAsia"/>
        </w:rPr>
      </w:pPr>
      <w:r>
        <w:rPr>
          <w:rFonts w:hint="eastAsia"/>
        </w:rPr>
        <w:t>郧阳区油橄榄产业链办公室：余祥伟、刘小林</w:t>
      </w:r>
    </w:p>
    <w:p w14:paraId="5839EF6C">
      <w:pPr>
        <w:pStyle w:val="2"/>
        <w:rPr>
          <w:rFonts w:hint="eastAsia"/>
        </w:rPr>
      </w:pPr>
      <w:r>
        <w:rPr>
          <w:rFonts w:hint="eastAsia"/>
        </w:rPr>
        <w:t>6.标准文本编制</w:t>
      </w:r>
    </w:p>
    <w:p w14:paraId="20081717">
      <w:pPr>
        <w:pStyle w:val="2"/>
        <w:rPr>
          <w:rFonts w:hint="eastAsia"/>
        </w:rPr>
      </w:pPr>
      <w:r>
        <w:rPr>
          <w:rFonts w:hint="eastAsia"/>
        </w:rPr>
        <w:t>负责标准文本起草、章节编写、技术内容完善、意见修改及标准格式规范化。</w:t>
      </w:r>
    </w:p>
    <w:p w14:paraId="4FF7F84C">
      <w:pPr>
        <w:pStyle w:val="2"/>
        <w:rPr>
          <w:rFonts w:hint="eastAsia"/>
        </w:rPr>
      </w:pPr>
      <w:r>
        <w:rPr>
          <w:rFonts w:hint="eastAsia"/>
        </w:rPr>
        <w:t>负责人：</w:t>
      </w:r>
    </w:p>
    <w:p w14:paraId="67D74E62">
      <w:pPr>
        <w:pStyle w:val="2"/>
        <w:rPr>
          <w:rFonts w:hint="eastAsia"/>
        </w:rPr>
      </w:pPr>
      <w:r>
        <w:rPr>
          <w:rFonts w:hint="eastAsia"/>
        </w:rPr>
        <w:t>中国科学院地理科学与资源研究所：宋献方、胡实、杨丽虎、蒋超</w:t>
      </w:r>
    </w:p>
    <w:p w14:paraId="0CE7EC0D">
      <w:pPr>
        <w:pStyle w:val="2"/>
        <w:rPr>
          <w:rFonts w:hint="eastAsia"/>
        </w:rPr>
      </w:pPr>
      <w:r>
        <w:rPr>
          <w:rFonts w:hint="eastAsia"/>
        </w:rPr>
        <w:t>郧阳区油橄榄产业链办公室：胡士强、余祥伟、刘小林</w:t>
      </w:r>
    </w:p>
    <w:p w14:paraId="122FAF82">
      <w:pPr>
        <w:pStyle w:val="4"/>
        <w:bidi w:val="0"/>
        <w:rPr>
          <w:rFonts w:hint="eastAsia" w:ascii="宋体" w:hAnsi="宋体" w:eastAsia="宋体" w:cs="宋体"/>
          <w:szCs w:val="24"/>
        </w:rPr>
      </w:pPr>
      <w:bookmarkStart w:id="9" w:name="_Toc1838"/>
      <w:bookmarkStart w:id="10" w:name="_Toc12634"/>
      <w:r>
        <w:rPr>
          <w:rFonts w:hint="eastAsia"/>
        </w:rPr>
        <w:t>（四）主要工作过程</w:t>
      </w:r>
      <w:bookmarkEnd w:id="9"/>
      <w:bookmarkEnd w:id="10"/>
    </w:p>
    <w:p w14:paraId="12BAD9C4">
      <w:pPr>
        <w:bidi w:val="0"/>
        <w:rPr>
          <w:rFonts w:hint="eastAsia"/>
        </w:rPr>
      </w:pPr>
      <w:r>
        <w:rPr>
          <w:rFonts w:hint="eastAsia"/>
        </w:rPr>
        <w:t>本标准的编制工作始于 2025 年 1 月，历经项目预研、立项申报、大纲编制、内部研讨及草案形成等多个关键环节，为后续标准的征求意见与审查发布奠定了坚实基础。</w:t>
      </w:r>
    </w:p>
    <w:p w14:paraId="1984AED3">
      <w:pPr>
        <w:bidi w:val="0"/>
        <w:rPr>
          <w:rFonts w:hint="eastAsia"/>
        </w:rPr>
      </w:pPr>
      <w:r>
        <w:rPr>
          <w:rFonts w:hint="eastAsia"/>
        </w:rPr>
        <w:t>2025</w:t>
      </w:r>
      <w:r>
        <w:rPr>
          <w:rFonts w:hint="eastAsia"/>
          <w:lang w:val="en-US" w:eastAsia="zh-CN"/>
        </w:rPr>
        <w:t xml:space="preserve"> 年 </w:t>
      </w:r>
      <w:r>
        <w:rPr>
          <w:rFonts w:hint="eastAsia"/>
        </w:rPr>
        <w:t>3</w:t>
      </w:r>
      <w:r>
        <w:rPr>
          <w:rFonts w:hint="eastAsia"/>
          <w:lang w:val="en-US" w:eastAsia="zh-CN"/>
        </w:rPr>
        <w:t xml:space="preserve"> 月至 </w:t>
      </w:r>
      <w:r>
        <w:rPr>
          <w:rFonts w:hint="eastAsia"/>
        </w:rPr>
        <w:t>2025</w:t>
      </w:r>
      <w:r>
        <w:rPr>
          <w:rFonts w:hint="eastAsia"/>
          <w:lang w:val="en-US" w:eastAsia="zh-CN"/>
        </w:rPr>
        <w:t xml:space="preserve"> 年 </w:t>
      </w:r>
      <w:r>
        <w:rPr>
          <w:rFonts w:hint="eastAsia"/>
        </w:rPr>
        <w:t>4</w:t>
      </w:r>
      <w:r>
        <w:rPr>
          <w:rFonts w:hint="eastAsia"/>
          <w:lang w:val="en-US" w:eastAsia="zh-CN"/>
        </w:rPr>
        <w:t xml:space="preserve"> 月</w:t>
      </w:r>
      <w:r>
        <w:rPr>
          <w:rFonts w:hint="eastAsia"/>
          <w:lang w:eastAsia="zh-CN"/>
        </w:rPr>
        <w:t>，</w:t>
      </w:r>
      <w:r>
        <w:rPr>
          <w:rFonts w:hint="eastAsia"/>
        </w:rPr>
        <w:t>标准预研阶段</w:t>
      </w:r>
      <w:r>
        <w:rPr>
          <w:rFonts w:hint="eastAsia"/>
          <w:lang w:eastAsia="zh-CN"/>
        </w:rPr>
        <w:t>，</w:t>
      </w:r>
      <w:r>
        <w:rPr>
          <w:rFonts w:hint="eastAsia"/>
        </w:rPr>
        <w:t>落实主编单位和项目负责人及主要参编单位</w:t>
      </w:r>
      <w:r>
        <w:rPr>
          <w:rFonts w:hint="eastAsia"/>
          <w:lang w:eastAsia="zh-CN"/>
        </w:rPr>
        <w:t>：</w:t>
      </w:r>
      <w:r>
        <w:rPr>
          <w:rFonts w:hint="eastAsia"/>
        </w:rPr>
        <w:t>对国内外相关文献和研究成果进行梳理和分析，明确标准目标和工作重点；制定详细的计划和实施方案；确定标准整体框架；开展案例分析，初步验证所提出的方法可行性和有效性，为后续编制工作提供数据支撑。</w:t>
      </w:r>
    </w:p>
    <w:p w14:paraId="2A1B30D6">
      <w:pPr>
        <w:bidi w:val="0"/>
        <w:rPr>
          <w:rFonts w:hint="eastAsia"/>
        </w:rPr>
      </w:pPr>
      <w:r>
        <w:rPr>
          <w:rFonts w:hint="eastAsia"/>
        </w:rPr>
        <w:t>2025</w:t>
      </w:r>
      <w:r>
        <w:rPr>
          <w:rFonts w:hint="eastAsia"/>
          <w:lang w:val="en-US" w:eastAsia="zh-CN"/>
        </w:rPr>
        <w:t xml:space="preserve"> 年 </w:t>
      </w:r>
      <w:r>
        <w:rPr>
          <w:rFonts w:hint="eastAsia"/>
        </w:rPr>
        <w:t>4</w:t>
      </w:r>
      <w:r>
        <w:rPr>
          <w:rFonts w:hint="eastAsia"/>
          <w:lang w:val="en-US" w:eastAsia="zh-CN"/>
        </w:rPr>
        <w:t xml:space="preserve"> 月至</w:t>
      </w:r>
      <w:r>
        <w:rPr>
          <w:rFonts w:hint="eastAsia"/>
        </w:rPr>
        <w:t>2025</w:t>
      </w:r>
      <w:r>
        <w:rPr>
          <w:rFonts w:hint="eastAsia"/>
          <w:lang w:val="en-US" w:eastAsia="zh-CN"/>
        </w:rPr>
        <w:t xml:space="preserve"> 年 </w:t>
      </w:r>
      <w:r>
        <w:rPr>
          <w:rFonts w:hint="eastAsia"/>
        </w:rPr>
        <w:t>6</w:t>
      </w:r>
      <w:r>
        <w:rPr>
          <w:rFonts w:hint="eastAsia"/>
          <w:lang w:val="en-US" w:eastAsia="zh-CN"/>
        </w:rPr>
        <w:t xml:space="preserve"> 月</w:t>
      </w:r>
      <w:r>
        <w:rPr>
          <w:rFonts w:hint="eastAsia"/>
          <w:lang w:eastAsia="zh-CN"/>
        </w:rPr>
        <w:t>，</w:t>
      </w:r>
      <w:r>
        <w:rPr>
          <w:rFonts w:hint="eastAsia"/>
        </w:rPr>
        <w:t>标准立项申请书撰写与标准初稿编制。细化分工并明确各成员在章节撰写、数据校验、意见汇总等方面的职责；明确标准是否涉及专利，在立项前与利益相关方协商，确定有关专利的处置规则、处置程序和要求，并取得标准编制成员的认可。</w:t>
      </w:r>
    </w:p>
    <w:p w14:paraId="251810EE">
      <w:pPr>
        <w:bidi w:val="0"/>
        <w:rPr>
          <w:rFonts w:hint="eastAsia"/>
        </w:rPr>
      </w:pPr>
      <w:r>
        <w:rPr>
          <w:rFonts w:hint="eastAsia"/>
        </w:rPr>
        <w:t>2025</w:t>
      </w:r>
      <w:r>
        <w:rPr>
          <w:rFonts w:hint="eastAsia"/>
          <w:lang w:val="en-US" w:eastAsia="zh-CN"/>
        </w:rPr>
        <w:t xml:space="preserve"> 年 </w:t>
      </w:r>
      <w:r>
        <w:rPr>
          <w:rFonts w:hint="eastAsia"/>
        </w:rPr>
        <w:t>7</w:t>
      </w:r>
      <w:r>
        <w:rPr>
          <w:rFonts w:hint="eastAsia"/>
          <w:lang w:val="en-US" w:eastAsia="zh-CN"/>
        </w:rPr>
        <w:t xml:space="preserve"> 月至 </w:t>
      </w:r>
      <w:r>
        <w:rPr>
          <w:rFonts w:hint="eastAsia"/>
        </w:rPr>
        <w:t>2025</w:t>
      </w:r>
      <w:r>
        <w:rPr>
          <w:rFonts w:hint="eastAsia"/>
          <w:lang w:val="en-US" w:eastAsia="zh-CN"/>
        </w:rPr>
        <w:t xml:space="preserve"> 年 </w:t>
      </w:r>
      <w:r>
        <w:rPr>
          <w:rFonts w:hint="eastAsia"/>
        </w:rPr>
        <w:t>8</w:t>
      </w:r>
      <w:r>
        <w:rPr>
          <w:rFonts w:hint="eastAsia"/>
          <w:lang w:val="en-US" w:eastAsia="zh-CN"/>
        </w:rPr>
        <w:t xml:space="preserve"> 月</w:t>
      </w:r>
      <w:r>
        <w:rPr>
          <w:rFonts w:hint="eastAsia"/>
          <w:lang w:eastAsia="zh-CN"/>
        </w:rPr>
        <w:t>，</w:t>
      </w:r>
      <w:r>
        <w:rPr>
          <w:rFonts w:hint="eastAsia"/>
        </w:rPr>
        <w:t>标准立项申请</w:t>
      </w:r>
      <w:r>
        <w:rPr>
          <w:rFonts w:hint="eastAsia"/>
          <w:lang w:eastAsia="zh-CN"/>
        </w:rPr>
        <w:t>，</w:t>
      </w:r>
      <w:r>
        <w:rPr>
          <w:rFonts w:hint="eastAsia"/>
        </w:rPr>
        <w:t>归口单位对项目组织专家进行评审，网上征求意见。</w:t>
      </w:r>
    </w:p>
    <w:p w14:paraId="42CE0D6E">
      <w:pPr>
        <w:bidi w:val="0"/>
        <w:rPr>
          <w:rFonts w:hint="default" w:eastAsia="宋体"/>
          <w:lang w:val="en-US" w:eastAsia="zh-CN"/>
        </w:rPr>
      </w:pPr>
      <w:r>
        <w:rPr>
          <w:rFonts w:hint="eastAsia"/>
        </w:rPr>
        <w:t>2025</w:t>
      </w:r>
      <w:r>
        <w:rPr>
          <w:rFonts w:hint="eastAsia"/>
          <w:lang w:val="en-US" w:eastAsia="zh-CN"/>
        </w:rPr>
        <w:t xml:space="preserve"> 年 9 月至 </w:t>
      </w:r>
      <w:r>
        <w:rPr>
          <w:rFonts w:hint="eastAsia"/>
        </w:rPr>
        <w:t>2025</w:t>
      </w:r>
      <w:r>
        <w:rPr>
          <w:rFonts w:hint="eastAsia"/>
          <w:lang w:val="en-US" w:eastAsia="zh-CN"/>
        </w:rPr>
        <w:t xml:space="preserve"> 年 10 月，</w:t>
      </w:r>
      <w:r>
        <w:rPr>
          <w:rFonts w:hint="eastAsia"/>
        </w:rPr>
        <w:t>标准审查</w:t>
      </w:r>
      <w:r>
        <w:rPr>
          <w:rFonts w:hint="eastAsia"/>
          <w:lang w:val="en-US" w:eastAsia="zh-CN"/>
        </w:rPr>
        <w:t>与修改</w:t>
      </w:r>
      <w:r>
        <w:rPr>
          <w:rFonts w:hint="eastAsia"/>
        </w:rPr>
        <w:t>。确定标准审查组人选及专家名单，其应在该专业领域具有权威性和代表性，且具有高级专业技术职称。</w:t>
      </w:r>
      <w:r>
        <w:rPr>
          <w:rFonts w:hint="eastAsia"/>
          <w:lang w:val="en-US" w:eastAsia="zh-CN"/>
        </w:rPr>
        <w:t>返回标准草案修改意见，根据意见对相关内容进行修改完善，形成标准修订版。</w:t>
      </w:r>
    </w:p>
    <w:p w14:paraId="3D1C95F8">
      <w:pPr>
        <w:bidi w:val="0"/>
        <w:rPr>
          <w:rFonts w:hint="eastAsia"/>
          <w:lang w:eastAsia="zh-CN"/>
        </w:rPr>
      </w:pPr>
      <w:r>
        <w:rPr>
          <w:rFonts w:hint="eastAsia"/>
        </w:rPr>
        <w:t>2025</w:t>
      </w:r>
      <w:r>
        <w:rPr>
          <w:rFonts w:hint="eastAsia"/>
          <w:lang w:val="en-US" w:eastAsia="zh-CN"/>
        </w:rPr>
        <w:t xml:space="preserve"> 年 </w:t>
      </w:r>
      <w:r>
        <w:rPr>
          <w:rFonts w:hint="eastAsia"/>
        </w:rPr>
        <w:t>1</w:t>
      </w:r>
      <w:r>
        <w:rPr>
          <w:rFonts w:hint="eastAsia"/>
          <w:lang w:val="en-US" w:eastAsia="zh-CN"/>
        </w:rPr>
        <w:t>1 月</w:t>
      </w:r>
      <w:r>
        <w:rPr>
          <w:rFonts w:hint="eastAsia"/>
          <w:lang w:eastAsia="zh-CN"/>
        </w:rPr>
        <w:t>，</w:t>
      </w:r>
      <w:r>
        <w:rPr>
          <w:rFonts w:hint="eastAsia"/>
        </w:rPr>
        <w:t>组织召开专家研讨会，对标准</w:t>
      </w:r>
      <w:r>
        <w:rPr>
          <w:rFonts w:hint="eastAsia"/>
          <w:lang w:val="en-US" w:eastAsia="zh-CN"/>
        </w:rPr>
        <w:t>修订版</w:t>
      </w:r>
      <w:r>
        <w:rPr>
          <w:rFonts w:hint="eastAsia"/>
        </w:rPr>
        <w:t>内容进行集中讨论与论证，根据</w:t>
      </w:r>
      <w:r>
        <w:rPr>
          <w:rFonts w:hint="eastAsia"/>
          <w:lang w:val="en-US" w:eastAsia="zh-CN"/>
        </w:rPr>
        <w:t>现场</w:t>
      </w:r>
      <w:r>
        <w:rPr>
          <w:rFonts w:hint="eastAsia"/>
        </w:rPr>
        <w:t>专家反馈意见对相关内容进行完善。与此同时，起草组同步完成立项申报材料的撰写，并正式向中国地理学会提交立项申请</w:t>
      </w:r>
      <w:r>
        <w:rPr>
          <w:rFonts w:hint="eastAsia"/>
          <w:lang w:eastAsia="zh-CN"/>
        </w:rPr>
        <w:t>。</w:t>
      </w:r>
    </w:p>
    <w:p w14:paraId="7B900AC5">
      <w:pPr>
        <w:bidi w:val="0"/>
        <w:rPr>
          <w:rFonts w:hint="eastAsia"/>
          <w:lang w:val="en-US" w:eastAsia="zh-CN"/>
        </w:rPr>
      </w:pPr>
      <w:r>
        <w:rPr>
          <w:rFonts w:hint="eastAsia"/>
          <w:lang w:val="en-US" w:eastAsia="zh-CN"/>
        </w:rPr>
        <w:t>2026 年 4 月，中国地理学会正式批复立项，标准编制工作进入有序推进阶段。</w:t>
      </w:r>
    </w:p>
    <w:p w14:paraId="1FE96959">
      <w:pPr>
        <w:bidi w:val="0"/>
        <w:rPr>
          <w:rFonts w:hint="eastAsia"/>
          <w:lang w:val="en-US" w:eastAsia="zh-CN"/>
        </w:rPr>
      </w:pPr>
      <w:r>
        <w:rPr>
          <w:rFonts w:hint="eastAsia"/>
          <w:lang w:val="en-US" w:eastAsia="zh-CN"/>
        </w:rPr>
        <w:t>2026 年 5 月，完成《工作大纲》的编制工作，系统明确标准的编制目的、主要内容、体系结构、人员分工及进度安排，为后续各阶段工作的规范有序开展提供制度保障。</w:t>
      </w:r>
    </w:p>
    <w:p w14:paraId="4513F373">
      <w:pPr>
        <w:bidi w:val="0"/>
        <w:rPr>
          <w:rFonts w:hint="eastAsia" w:ascii="宋体" w:hAnsi="宋体" w:eastAsia="宋体" w:cs="宋体"/>
          <w:szCs w:val="24"/>
          <w:lang w:eastAsia="zh-CN"/>
        </w:rPr>
      </w:pPr>
      <w:r>
        <w:rPr>
          <w:rFonts w:hint="eastAsia"/>
        </w:rPr>
        <w:t>2026</w:t>
      </w:r>
      <w:r>
        <w:rPr>
          <w:rFonts w:hint="eastAsia"/>
          <w:lang w:val="en-US" w:eastAsia="zh-CN"/>
        </w:rPr>
        <w:t xml:space="preserve"> </w:t>
      </w:r>
      <w:r>
        <w:rPr>
          <w:rFonts w:hint="eastAsia"/>
        </w:rPr>
        <w:t>年</w:t>
      </w:r>
      <w:r>
        <w:rPr>
          <w:rFonts w:hint="eastAsia"/>
          <w:lang w:val="en-US" w:eastAsia="zh-CN"/>
        </w:rPr>
        <w:t xml:space="preserve"> 6 </w:t>
      </w:r>
      <w:r>
        <w:rPr>
          <w:rFonts w:hint="eastAsia"/>
        </w:rPr>
        <w:t>月至</w:t>
      </w:r>
      <w:r>
        <w:rPr>
          <w:rFonts w:hint="eastAsia"/>
          <w:lang w:val="en-US" w:eastAsia="zh-CN"/>
        </w:rPr>
        <w:t xml:space="preserve"> 7 </w:t>
      </w:r>
      <w:r>
        <w:rPr>
          <w:rFonts w:hint="eastAsia"/>
        </w:rPr>
        <w:t>月，完成《标准编制说明》的撰写，最终形成《地标生境 郧阳油橄榄北亚热带低山丘陵案例》，拟于 7 月通过中国地理学会平台，开始向社会及相关领域专家定向征求意见</w:t>
      </w:r>
      <w:r>
        <w:rPr>
          <w:rFonts w:hint="eastAsia"/>
          <w:lang w:eastAsia="zh-CN"/>
        </w:rPr>
        <w:t>。</w:t>
      </w:r>
    </w:p>
    <w:p w14:paraId="0A1F9219">
      <w:pPr>
        <w:pStyle w:val="3"/>
        <w:bidi w:val="0"/>
        <w:rPr>
          <w:rFonts w:hint="eastAsia" w:ascii="宋体" w:hAnsi="宋体" w:eastAsia="宋体" w:cs="宋体"/>
          <w:szCs w:val="28"/>
        </w:rPr>
      </w:pPr>
      <w:bookmarkStart w:id="11" w:name="_Toc28297"/>
      <w:bookmarkStart w:id="12" w:name="_Toc5586"/>
      <w:r>
        <w:rPr>
          <w:rFonts w:hint="eastAsia"/>
        </w:rPr>
        <w:t>二</w:t>
      </w:r>
      <w:r>
        <w:rPr>
          <w:rFonts w:hint="eastAsia"/>
          <w:lang w:eastAsia="zh-CN"/>
        </w:rPr>
        <w:t>、</w:t>
      </w:r>
      <w:r>
        <w:rPr>
          <w:rFonts w:hint="eastAsia"/>
        </w:rPr>
        <w:t>团体标准编制原则和确定标准主要内容的依据</w:t>
      </w:r>
      <w:bookmarkEnd w:id="11"/>
      <w:bookmarkEnd w:id="12"/>
    </w:p>
    <w:p w14:paraId="63D54058">
      <w:pPr>
        <w:pStyle w:val="4"/>
        <w:bidi w:val="0"/>
        <w:rPr>
          <w:rFonts w:hint="eastAsia"/>
        </w:rPr>
      </w:pPr>
      <w:bookmarkStart w:id="13" w:name="bookmark28"/>
      <w:bookmarkEnd w:id="13"/>
      <w:bookmarkStart w:id="14" w:name="_Toc15160"/>
      <w:bookmarkStart w:id="15" w:name="_Toc21134"/>
      <w:r>
        <w:rPr>
          <w:rFonts w:hint="eastAsia"/>
        </w:rPr>
        <w:t>（一）标准编制背景</w:t>
      </w:r>
      <w:bookmarkEnd w:id="14"/>
      <w:bookmarkEnd w:id="15"/>
    </w:p>
    <w:p w14:paraId="1887D09B">
      <w:pPr>
        <w:rPr>
          <w:rFonts w:hint="default"/>
          <w:lang w:val="en-US" w:eastAsia="zh-CN"/>
        </w:rPr>
      </w:pPr>
      <w:r>
        <w:rPr>
          <w:rFonts w:hint="default"/>
          <w:lang w:val="en-US" w:eastAsia="zh-CN"/>
        </w:rPr>
        <w:t>郧阳区位于湖北省十堰市北部、鄂西北山地与汉江河谷交汇区域，地处鄂、豫、陕、渝相邻地带，属于我国油橄榄适生栽培区域之一。区域山地丘陵和河谷地貌相间，光热资源较为丰富，土壤和排水条件具有一定地域特征，为油橄榄引种、适应性选育和规模化栽培提供了自然基础。</w:t>
      </w:r>
    </w:p>
    <w:p w14:paraId="35B1DA95">
      <w:pPr>
        <w:rPr>
          <w:rFonts w:hint="eastAsia"/>
          <w:lang w:val="en-US" w:eastAsia="zh-CN"/>
        </w:rPr>
      </w:pPr>
      <w:r>
        <w:rPr>
          <w:rFonts w:hint="default"/>
          <w:lang w:val="en-US" w:eastAsia="zh-CN"/>
        </w:rPr>
        <w:t>郧阳油橄榄具有较长的引种和产业发展历史。现有材料记载，新中国成立后具有代表性的油橄榄“总理树”在当地栽植，形成了具有地方辨识度的油橄榄历史文化资源。近年来，郧阳区持续开展适生品种筛选、基地建设、加工能力提升和产业链延伸，形成了“种植+加工+旅游”等多元化发展模式。现有材料提出，郧阳区油橄榄种植面积约6.2万亩，建有数字化加工设施，橄榄油年生产能力约1500 t，全产业链产值约1.5亿元、利税超过400万元</w:t>
      </w:r>
      <w:r>
        <w:rPr>
          <w:rFonts w:hint="eastAsia"/>
          <w:lang w:val="en-US" w:eastAsia="zh-CN"/>
        </w:rPr>
        <w:t>。</w:t>
      </w:r>
    </w:p>
    <w:p w14:paraId="30E39752">
      <w:pPr>
        <w:rPr>
          <w:rFonts w:hint="default"/>
          <w:lang w:val="en-US" w:eastAsia="zh-CN"/>
        </w:rPr>
      </w:pPr>
      <w:r>
        <w:rPr>
          <w:rFonts w:hint="default"/>
          <w:lang w:val="en-US" w:eastAsia="zh-CN"/>
        </w:rPr>
        <w:t>目前，我国已发布油橄榄、油橄榄栽培、苗木质量和橄榄油产品等通用技术文件，但现有标准主要面向全国一般生产条件和产品质量要求，尚不能完整体现郧阳山地果园的地形、气候、土壤和水环境特征，也缺少对“郧阳生境—适生品种—鲜果成熟—加工时效—橄榄油品质”关系的系统性规范。</w:t>
      </w:r>
    </w:p>
    <w:p w14:paraId="08DE342B">
      <w:pPr>
        <w:rPr>
          <w:rFonts w:hint="eastAsia" w:ascii="宋体" w:hAnsi="宋体" w:eastAsia="宋体" w:cs="宋体"/>
          <w:sz w:val="24"/>
          <w:szCs w:val="24"/>
        </w:rPr>
      </w:pPr>
      <w:r>
        <w:rPr>
          <w:rFonts w:hint="default"/>
          <w:lang w:val="en-US" w:eastAsia="zh-CN"/>
        </w:rPr>
        <w:t>本标准将重点聚焦保护范围、地标生境条件、油橄榄栽培管理、鲜果采收、加工与产品质量、检验方法和流通贮存要求，实现由单一产品质量控制向“生境+鲜果+油品”协同保护转变。</w:t>
      </w:r>
    </w:p>
    <w:p w14:paraId="01BF8E81">
      <w:pPr>
        <w:pStyle w:val="4"/>
        <w:bidi w:val="0"/>
        <w:rPr>
          <w:rFonts w:hint="eastAsia" w:ascii="宋体" w:hAnsi="宋体" w:eastAsia="宋体" w:cs="宋体"/>
          <w:szCs w:val="24"/>
        </w:rPr>
      </w:pPr>
      <w:bookmarkStart w:id="16" w:name="_Toc26392"/>
      <w:bookmarkStart w:id="17" w:name="_Toc32157"/>
      <w:r>
        <w:rPr>
          <w:rFonts w:hint="eastAsia"/>
        </w:rPr>
        <w:t>（二）标准编制原则</w:t>
      </w:r>
      <w:bookmarkEnd w:id="16"/>
      <w:bookmarkEnd w:id="17"/>
    </w:p>
    <w:p w14:paraId="0C872A64">
      <w:pPr>
        <w:bidi w:val="0"/>
        <w:rPr>
          <w:rFonts w:hint="eastAsia"/>
        </w:rPr>
      </w:pPr>
      <w:r>
        <w:rPr>
          <w:rFonts w:hint="eastAsia" w:cs="宋体"/>
          <w:spacing w:val="-1"/>
          <w:sz w:val="24"/>
          <w:szCs w:val="24"/>
          <w:lang w:val="en-US" w:eastAsia="zh-CN"/>
        </w:rPr>
        <w:t>《地标生境 郧阳油橄榄北亚热带低山丘陵案例》</w:t>
      </w:r>
      <w:r>
        <w:rPr>
          <w:rFonts w:hint="eastAsia"/>
        </w:rPr>
        <w:t>团体标准按照GB/T 1.1—2020《标准化工作导则 第1部分：标准化文件的结构和起草规则》的规定编写。标准编制过程中，坚持先进性、科学性、实用性、统一性和区域特色性原则：</w:t>
      </w:r>
    </w:p>
    <w:p w14:paraId="35721179">
      <w:pPr>
        <w:bidi w:val="0"/>
        <w:rPr>
          <w:rFonts w:hint="eastAsia" w:eastAsia="宋体"/>
          <w:lang w:eastAsia="zh-CN"/>
        </w:rPr>
      </w:pPr>
      <w:r>
        <w:rPr>
          <w:rFonts w:hint="eastAsia"/>
          <w:lang w:val="en-US" w:eastAsia="zh-CN"/>
        </w:rPr>
        <w:t>1、先进性</w:t>
      </w:r>
      <w:r>
        <w:rPr>
          <w:rFonts w:hint="eastAsia"/>
        </w:rPr>
        <w:t>原则；本标准创新性地将“地标生境”（GIES）理念引入地理标志产品标准体系</w:t>
      </w:r>
      <w:r>
        <w:rPr>
          <w:rFonts w:hint="eastAsia"/>
          <w:lang w:eastAsia="zh-CN"/>
        </w:rPr>
        <w:t>，以地理学、人地关系地域系统和农业生态系统理论为基础，综合考虑山地果园保护范围、生境条件、适生栽培、鲜果采收、加工控制和橄榄油质量，推动标准由单一产品指标规范向“果园生境—鲜果品质—油品质量”协同保护转变；</w:t>
      </w:r>
    </w:p>
    <w:p w14:paraId="6FDBC666">
      <w:pPr>
        <w:bidi w:val="0"/>
        <w:rPr>
          <w:rFonts w:hint="eastAsia"/>
          <w:lang w:eastAsia="zh-CN"/>
        </w:rPr>
      </w:pPr>
      <w:r>
        <w:rPr>
          <w:rFonts w:hint="eastAsia"/>
          <w:lang w:val="en-US" w:eastAsia="zh-CN"/>
        </w:rPr>
        <w:t>2、</w:t>
      </w:r>
      <w:r>
        <w:rPr>
          <w:rFonts w:hint="eastAsia"/>
        </w:rPr>
        <w:t>科学性原则：标准中的地形、气候、土壤、水质、植被、品种适应性、成熟度、含油率和橄榄油品质等指标，来源于长期气象资料、遥感分析、典型果园实地调查、实验室检测和生产验证，确保指标来源明确、方法可重复、结果可追溯</w:t>
      </w:r>
      <w:r>
        <w:rPr>
          <w:rFonts w:hint="eastAsia"/>
          <w:lang w:eastAsia="zh-CN"/>
        </w:rPr>
        <w:t>；</w:t>
      </w:r>
    </w:p>
    <w:p w14:paraId="242E0BD0">
      <w:pPr>
        <w:bidi w:val="0"/>
        <w:rPr>
          <w:rFonts w:hint="eastAsia"/>
          <w:lang w:val="en-US" w:eastAsia="zh-CN"/>
        </w:rPr>
      </w:pPr>
      <w:r>
        <w:rPr>
          <w:rFonts w:hint="eastAsia"/>
          <w:lang w:val="en-US" w:eastAsia="zh-CN"/>
        </w:rPr>
        <w:t>3、实用性原则：充分考虑郧阳种植户、合作社、技术推广部门、加工企业和检测机构的实际条件，优先采用成熟、可执行的技术要求和现行检验方法，避免将单个企业专有工艺、特定平台备案或难以普遍实施的管理要求写入标准；</w:t>
      </w:r>
    </w:p>
    <w:p w14:paraId="675DB0B1">
      <w:pPr>
        <w:bidi w:val="0"/>
        <w:rPr>
          <w:rFonts w:hint="eastAsia"/>
          <w:lang w:val="en-US" w:eastAsia="zh-CN"/>
        </w:rPr>
      </w:pPr>
      <w:r>
        <w:rPr>
          <w:rFonts w:hint="eastAsia"/>
          <w:lang w:val="en-US" w:eastAsia="zh-CN"/>
        </w:rPr>
        <w:t>4、统一性原则：全面梳理油橄榄、橄榄油、环境质量、食品安全、包装标签等国家标准和行业标准，已有通用要求优先直接引用，对术语、产品分类、检验方法和判定规则进行统一，避免与现行强制性标准重复或冲突；</w:t>
      </w:r>
    </w:p>
    <w:p w14:paraId="0C4B7A90">
      <w:pPr>
        <w:bidi w:val="0"/>
        <w:rPr>
          <w:rFonts w:hint="default" w:ascii="宋体" w:hAnsi="宋体" w:cs="宋体"/>
          <w:spacing w:val="-2"/>
          <w:szCs w:val="24"/>
          <w:lang w:val="en-US" w:eastAsia="zh-CN"/>
        </w:rPr>
      </w:pPr>
      <w:r>
        <w:rPr>
          <w:rFonts w:hint="eastAsia"/>
          <w:lang w:val="en-US" w:eastAsia="zh-CN"/>
        </w:rPr>
        <w:t>5、区域特色性原则：突出郧阳北亚热带山地河谷环境、丹江口库区生态区位、适生品种资源、山地果园水土保持和鲜果快速加工等特点，使标准能够真实反映郧阳油橄榄的地域生态基础和品质形成条件。</w:t>
      </w:r>
    </w:p>
    <w:p w14:paraId="3F87F846">
      <w:pPr>
        <w:pStyle w:val="4"/>
        <w:bidi w:val="0"/>
        <w:rPr>
          <w:rFonts w:hint="eastAsia"/>
        </w:rPr>
      </w:pPr>
      <w:bookmarkStart w:id="18" w:name="_Toc7966"/>
      <w:bookmarkStart w:id="19" w:name="_Toc14742"/>
      <w:r>
        <w:rPr>
          <w:rFonts w:hint="eastAsia"/>
        </w:rPr>
        <w:t>（三）标准主要内容的依据</w:t>
      </w:r>
      <w:bookmarkEnd w:id="18"/>
      <w:bookmarkEnd w:id="19"/>
    </w:p>
    <w:p w14:paraId="10F31244">
      <w:pPr>
        <w:pStyle w:val="5"/>
        <w:bidi w:val="0"/>
        <w:rPr>
          <w:rFonts w:hint="eastAsia"/>
        </w:rPr>
      </w:pPr>
      <w:bookmarkStart w:id="20" w:name="_Toc27500"/>
      <w:r>
        <w:rPr>
          <w:rFonts w:hint="eastAsia"/>
        </w:rPr>
        <w:t>1</w:t>
      </w:r>
      <w:r>
        <w:rPr>
          <w:rFonts w:hint="eastAsia"/>
          <w:lang w:val="en-US" w:eastAsia="zh-CN"/>
        </w:rPr>
        <w:t xml:space="preserve">  </w:t>
      </w:r>
      <w:r>
        <w:rPr>
          <w:rFonts w:hint="eastAsia"/>
        </w:rPr>
        <w:t>范围</w:t>
      </w:r>
      <w:bookmarkEnd w:id="20"/>
    </w:p>
    <w:p w14:paraId="0CC2C225">
      <w:pPr>
        <w:bidi w:val="0"/>
        <w:rPr>
          <w:rFonts w:hint="eastAsia"/>
        </w:rPr>
      </w:pPr>
      <w:r>
        <w:rPr>
          <w:rFonts w:hint="eastAsia"/>
        </w:rPr>
        <w:t>本</w:t>
      </w:r>
      <w:r>
        <w:rPr>
          <w:rFonts w:hint="eastAsia"/>
          <w:lang w:val="en-US" w:eastAsia="zh-CN"/>
        </w:rPr>
        <w:t>标准</w:t>
      </w:r>
      <w:r>
        <w:rPr>
          <w:rFonts w:hint="eastAsia"/>
        </w:rPr>
        <w:t xml:space="preserve">界定了地标生境 </w:t>
      </w:r>
      <w:r>
        <w:rPr>
          <w:rFonts w:hint="eastAsia"/>
          <w:lang w:val="en-US" w:eastAsia="zh-CN"/>
        </w:rPr>
        <w:t>郧阳油橄榄北亚热带低山丘陵</w:t>
      </w:r>
      <w:r>
        <w:rPr>
          <w:rFonts w:hint="eastAsia"/>
        </w:rPr>
        <w:t>案例的相关术语，规定了产地范围、</w:t>
      </w:r>
      <w:r>
        <w:rPr>
          <w:rFonts w:hint="eastAsia"/>
          <w:lang w:val="en-US" w:eastAsia="zh-CN"/>
        </w:rPr>
        <w:t>技术</w:t>
      </w:r>
      <w:r>
        <w:rPr>
          <w:rFonts w:hint="eastAsia"/>
        </w:rPr>
        <w:t>要求，描述了产地自然环境和相应的检验方法。</w:t>
      </w:r>
    </w:p>
    <w:p w14:paraId="4E2FFDD5">
      <w:pPr>
        <w:bidi w:val="0"/>
        <w:rPr>
          <w:rFonts w:hint="eastAsia"/>
        </w:rPr>
      </w:pPr>
      <w:r>
        <w:rPr>
          <w:rFonts w:hint="eastAsia"/>
        </w:rPr>
        <w:t>本标准适用于</w:t>
      </w:r>
      <w:r>
        <w:rPr>
          <w:rFonts w:hint="eastAsia"/>
          <w:lang w:val="en-US" w:eastAsia="zh-CN"/>
        </w:rPr>
        <w:t>湖北省郧阳区油橄榄</w:t>
      </w:r>
      <w:r>
        <w:rPr>
          <w:rFonts w:hint="eastAsia"/>
        </w:rPr>
        <w:t>的环境条件、生产、加工、销售等，亦适用于</w:t>
      </w:r>
      <w:r>
        <w:rPr>
          <w:rFonts w:hint="eastAsia"/>
          <w:lang w:val="en-US" w:eastAsia="zh-CN"/>
        </w:rPr>
        <w:t>郧阳油橄榄北亚热带低山丘陵</w:t>
      </w:r>
      <w:r>
        <w:rPr>
          <w:rFonts w:hint="eastAsia"/>
        </w:rPr>
        <w:t>的保护和管理</w:t>
      </w:r>
      <w:r>
        <w:rPr>
          <w:rFonts w:hint="eastAsia"/>
          <w:lang w:eastAsia="zh-CN"/>
        </w:rPr>
        <w:t>。</w:t>
      </w:r>
      <w:r>
        <w:rPr>
          <w:rFonts w:hint="eastAsia"/>
        </w:rPr>
        <w:t>本标准适用于基于地理学的信息分类、共享与交换，亦适用于地理科学的教学 、科研和项目分类。</w:t>
      </w:r>
    </w:p>
    <w:p w14:paraId="3AB1BB5C">
      <w:pPr>
        <w:pStyle w:val="5"/>
        <w:bidi w:val="0"/>
        <w:rPr>
          <w:rFonts w:hint="eastAsia"/>
          <w:color w:val="auto"/>
        </w:rPr>
      </w:pPr>
      <w:bookmarkStart w:id="21" w:name="_Toc3355"/>
      <w:r>
        <w:rPr>
          <w:rFonts w:hint="eastAsia"/>
          <w:color w:val="auto"/>
        </w:rPr>
        <w:t>2  规范性引用文件</w:t>
      </w:r>
      <w:bookmarkEnd w:id="21"/>
    </w:p>
    <w:p w14:paraId="5F73EB1A">
      <w:pPr>
        <w:bidi w:val="0"/>
        <w:rPr>
          <w:rFonts w:hint="eastAsia"/>
        </w:rPr>
      </w:pPr>
      <w:r>
        <w:rPr>
          <w:rFonts w:hint="eastAsia"/>
        </w:rPr>
        <w:t>下列文件对于本文件的应用是必不可少的。凡是注日期的引用文件，仅注日期的版本适用于本文件。凡是不注日期引用文件，其最新版本（包括所有的修改单）适用于本文件。</w:t>
      </w:r>
    </w:p>
    <w:p w14:paraId="3104791F">
      <w:pPr>
        <w:bidi w:val="0"/>
        <w:rPr>
          <w:rFonts w:hint="eastAsia"/>
        </w:rPr>
      </w:pPr>
      <w:r>
        <w:rPr>
          <w:rFonts w:hint="eastAsia"/>
        </w:rPr>
        <w:t xml:space="preserve">GB2762 食品安全国家标准 食品中污染物限量  </w:t>
      </w:r>
    </w:p>
    <w:p w14:paraId="5284EE12">
      <w:pPr>
        <w:bidi w:val="0"/>
        <w:rPr>
          <w:rFonts w:hint="eastAsia"/>
        </w:rPr>
      </w:pPr>
      <w:r>
        <w:rPr>
          <w:rFonts w:hint="eastAsia"/>
        </w:rPr>
        <w:t xml:space="preserve">GB/T 20397《油橄榄栽培技术规程》  </w:t>
      </w:r>
    </w:p>
    <w:p w14:paraId="6905DE90">
      <w:pPr>
        <w:bidi w:val="0"/>
        <w:rPr>
          <w:rFonts w:hint="eastAsia"/>
        </w:rPr>
      </w:pPr>
      <w:r>
        <w:rPr>
          <w:rFonts w:hint="eastAsia"/>
        </w:rPr>
        <w:t xml:space="preserve">GB/T 23347《橄榄油、油橄榄果渣油》  </w:t>
      </w:r>
    </w:p>
    <w:p w14:paraId="07BC80A1">
      <w:pPr>
        <w:bidi w:val="0"/>
        <w:rPr>
          <w:rFonts w:hint="eastAsia"/>
        </w:rPr>
      </w:pPr>
      <w:r>
        <w:rPr>
          <w:rFonts w:hint="eastAsia"/>
        </w:rPr>
        <w:t xml:space="preserve">GB 3095《环境空气质量标准》  </w:t>
      </w:r>
    </w:p>
    <w:p w14:paraId="116586B6">
      <w:pPr>
        <w:bidi w:val="0"/>
        <w:rPr>
          <w:rFonts w:hint="eastAsia"/>
        </w:rPr>
      </w:pPr>
      <w:r>
        <w:rPr>
          <w:rFonts w:hint="eastAsia"/>
        </w:rPr>
        <w:t xml:space="preserve">GB 4806.5《食品安全国家标准 食品接触用玻璃制品》  </w:t>
      </w:r>
    </w:p>
    <w:p w14:paraId="037B065B">
      <w:pPr>
        <w:bidi w:val="0"/>
        <w:rPr>
          <w:rFonts w:hint="eastAsia"/>
        </w:rPr>
      </w:pPr>
      <w:r>
        <w:rPr>
          <w:rFonts w:hint="eastAsia"/>
        </w:rPr>
        <w:t xml:space="preserve">GB 4806.7《食品安全国家标准 食品接触用塑料材料及制品》  </w:t>
      </w:r>
    </w:p>
    <w:p w14:paraId="426F0693">
      <w:pPr>
        <w:bidi w:val="0"/>
        <w:rPr>
          <w:rFonts w:hint="eastAsia"/>
        </w:rPr>
      </w:pPr>
      <w:r>
        <w:rPr>
          <w:rFonts w:hint="eastAsia"/>
        </w:rPr>
        <w:t xml:space="preserve">GB 4806.10《食品安全国家标准 食品接触用金属材料及制品》  </w:t>
      </w:r>
    </w:p>
    <w:p w14:paraId="5BD637F1">
      <w:pPr>
        <w:bidi w:val="0"/>
        <w:rPr>
          <w:rFonts w:hint="eastAsia"/>
        </w:rPr>
      </w:pPr>
      <w:r>
        <w:rPr>
          <w:rFonts w:hint="eastAsia"/>
        </w:rPr>
        <w:t xml:space="preserve">GB 5491《粮食、油料检验 扦样、分样法》  </w:t>
      </w:r>
    </w:p>
    <w:p w14:paraId="6F7D0614">
      <w:pPr>
        <w:bidi w:val="0"/>
        <w:rPr>
          <w:rFonts w:hint="eastAsia"/>
        </w:rPr>
      </w:pPr>
      <w:r>
        <w:rPr>
          <w:rFonts w:hint="eastAsia"/>
        </w:rPr>
        <w:t xml:space="preserve">GB 7718《食品安全国家标准 预包装食品标签通则》  </w:t>
      </w:r>
    </w:p>
    <w:p w14:paraId="15EEBDE5">
      <w:pPr>
        <w:bidi w:val="0"/>
        <w:rPr>
          <w:rFonts w:hint="eastAsia"/>
        </w:rPr>
      </w:pPr>
      <w:r>
        <w:rPr>
          <w:rFonts w:hint="eastAsia"/>
        </w:rPr>
        <w:t xml:space="preserve">GB 14881《食品安全国家标准 食品生产通用卫生规范》  </w:t>
      </w:r>
    </w:p>
    <w:p w14:paraId="0C718EB5">
      <w:pPr>
        <w:bidi w:val="0"/>
        <w:rPr>
          <w:rFonts w:hint="eastAsia"/>
        </w:rPr>
      </w:pPr>
      <w:r>
        <w:rPr>
          <w:rFonts w:hint="eastAsia"/>
        </w:rPr>
        <w:t xml:space="preserve">GB 15196《食品安全国家标准 食用油脂制品》  </w:t>
      </w:r>
    </w:p>
    <w:p w14:paraId="0B31E94C">
      <w:pPr>
        <w:bidi w:val="0"/>
        <w:rPr>
          <w:rFonts w:hint="eastAsia"/>
        </w:rPr>
      </w:pPr>
      <w:r>
        <w:rPr>
          <w:rFonts w:hint="eastAsia"/>
        </w:rPr>
        <w:t xml:space="preserve">GB 16798《食品安全国家标准 食品机械安全卫生》  </w:t>
      </w:r>
    </w:p>
    <w:p w14:paraId="23D053CC">
      <w:pPr>
        <w:bidi w:val="0"/>
        <w:rPr>
          <w:rFonts w:hint="eastAsia"/>
        </w:rPr>
      </w:pPr>
      <w:r>
        <w:rPr>
          <w:rFonts w:hint="eastAsia"/>
        </w:rPr>
        <w:t xml:space="preserve">GB 18599《一般工业固体废物贮存和填埋污染控制标准》  </w:t>
      </w:r>
    </w:p>
    <w:p w14:paraId="64730BF0">
      <w:pPr>
        <w:bidi w:val="0"/>
        <w:rPr>
          <w:rFonts w:hint="eastAsia"/>
        </w:rPr>
      </w:pPr>
      <w:r>
        <w:rPr>
          <w:rFonts w:hint="eastAsia"/>
        </w:rPr>
        <w:t xml:space="preserve">GB 25571《食品安全国家标准 食品添加剂 活性白土》  </w:t>
      </w:r>
    </w:p>
    <w:p w14:paraId="4B497426">
      <w:pPr>
        <w:bidi w:val="0"/>
        <w:rPr>
          <w:rFonts w:hint="eastAsia"/>
        </w:rPr>
      </w:pPr>
      <w:r>
        <w:rPr>
          <w:rFonts w:hint="eastAsia"/>
        </w:rPr>
        <w:t xml:space="preserve">GB 2716《食品安全国家标准 植物油》  </w:t>
      </w:r>
    </w:p>
    <w:p w14:paraId="1C01DF9D">
      <w:pPr>
        <w:bidi w:val="0"/>
        <w:rPr>
          <w:rFonts w:hint="eastAsia"/>
        </w:rPr>
      </w:pPr>
      <w:r>
        <w:rPr>
          <w:rFonts w:hint="eastAsia"/>
        </w:rPr>
        <w:t xml:space="preserve">NY/T 391《绿色食品 产地环境质量》  </w:t>
      </w:r>
    </w:p>
    <w:p w14:paraId="434AA8B3">
      <w:pPr>
        <w:bidi w:val="0"/>
        <w:rPr>
          <w:rFonts w:hint="eastAsia"/>
        </w:rPr>
      </w:pPr>
      <w:r>
        <w:rPr>
          <w:rFonts w:hint="eastAsia"/>
        </w:rPr>
        <w:t xml:space="preserve">NY/T 393《绿色食品 农药使用准则》  </w:t>
      </w:r>
    </w:p>
    <w:p w14:paraId="738B6A48">
      <w:pPr>
        <w:bidi w:val="0"/>
        <w:rPr>
          <w:rFonts w:hint="eastAsia"/>
        </w:rPr>
      </w:pPr>
      <w:r>
        <w:rPr>
          <w:rFonts w:hint="eastAsia"/>
        </w:rPr>
        <w:t xml:space="preserve">NY/T 394《绿色食品 肥料使用准则》  </w:t>
      </w:r>
    </w:p>
    <w:p w14:paraId="4A245569">
      <w:pPr>
        <w:bidi w:val="0"/>
        <w:rPr>
          <w:rFonts w:hint="eastAsia"/>
        </w:rPr>
      </w:pPr>
      <w:r>
        <w:rPr>
          <w:rFonts w:hint="eastAsia"/>
        </w:rPr>
        <w:t xml:space="preserve">NY 525《有机肥料》  </w:t>
      </w:r>
    </w:p>
    <w:p w14:paraId="44967E52">
      <w:pPr>
        <w:bidi w:val="0"/>
        <w:rPr>
          <w:rFonts w:hint="eastAsia"/>
        </w:rPr>
      </w:pPr>
      <w:r>
        <w:rPr>
          <w:rFonts w:hint="eastAsia"/>
        </w:rPr>
        <w:t xml:space="preserve">LY/T 1844《油橄榄苗木》  </w:t>
      </w:r>
    </w:p>
    <w:p w14:paraId="6685F6C8">
      <w:pPr>
        <w:bidi w:val="0"/>
        <w:rPr>
          <w:rFonts w:hint="eastAsia"/>
        </w:rPr>
      </w:pPr>
      <w:r>
        <w:rPr>
          <w:rFonts w:hint="eastAsia"/>
        </w:rPr>
        <w:t>LY/T 2892《油橄榄病虫害测报技术规范》</w:t>
      </w:r>
    </w:p>
    <w:p w14:paraId="5780FFC2">
      <w:pPr>
        <w:pStyle w:val="5"/>
        <w:bidi w:val="0"/>
        <w:rPr>
          <w:rFonts w:hint="eastAsia"/>
        </w:rPr>
      </w:pPr>
      <w:bookmarkStart w:id="22" w:name="_Toc2345"/>
      <w:r>
        <w:rPr>
          <w:rFonts w:hint="eastAsia"/>
        </w:rPr>
        <w:t>3  术语和定义</w:t>
      </w:r>
      <w:bookmarkEnd w:id="22"/>
    </w:p>
    <w:p w14:paraId="126C9783">
      <w:pPr>
        <w:bidi w:val="0"/>
        <w:rPr>
          <w:rFonts w:hint="eastAsia"/>
        </w:rPr>
      </w:pPr>
      <w:r>
        <w:rPr>
          <w:rFonts w:hint="eastAsia"/>
        </w:rPr>
        <w:t xml:space="preserve">编制组依据标准正文的核心概念和 GB/T </w:t>
      </w:r>
      <w:r>
        <w:rPr>
          <w:rFonts w:hint="eastAsia"/>
          <w:lang w:val="en-US" w:eastAsia="zh-CN"/>
        </w:rPr>
        <w:t>23347</w:t>
      </w:r>
      <w:r>
        <w:rPr>
          <w:rFonts w:hint="eastAsia"/>
        </w:rPr>
        <w:t>《橄榄油、油橄榄果渣油》等通用标准中的既有术语，确定术语定义范围。“地标生境”的定义直接引用系列标准统一的表述；具体如下：</w:t>
      </w:r>
    </w:p>
    <w:p w14:paraId="41AFFEFC">
      <w:pPr>
        <w:keepNext w:val="0"/>
        <w:keepLines w:val="0"/>
        <w:pageBreakBefore w:val="0"/>
        <w:widowControl/>
        <w:kinsoku w:val="0"/>
        <w:wordWrap/>
        <w:overflowPunct/>
        <w:topLinePunct w:val="0"/>
        <w:autoSpaceDE w:val="0"/>
        <w:autoSpaceDN w:val="0"/>
        <w:bidi w:val="0"/>
        <w:adjustRightInd w:val="0"/>
        <w:snapToGrid w:val="0"/>
        <w:ind w:left="0" w:leftChars="0" w:firstLine="480" w:firstLineChars="200"/>
        <w:textAlignment w:val="baseline"/>
        <w:rPr>
          <w:rFonts w:hint="default" w:ascii="Times New Roman" w:hAnsi="Times New Roman" w:eastAsia="黑体" w:cs="Times New Roman"/>
        </w:rPr>
      </w:pPr>
      <w:r>
        <w:rPr>
          <w:rFonts w:hint="default" w:ascii="Times New Roman" w:hAnsi="Times New Roman" w:eastAsia="黑体" w:cs="Times New Roman"/>
          <w:lang w:val="en-US" w:eastAsia="zh-CN"/>
        </w:rPr>
        <w:t xml:space="preserve">3.1 </w:t>
      </w:r>
      <w:r>
        <w:rPr>
          <w:rFonts w:hint="default" w:ascii="Times New Roman" w:hAnsi="Times New Roman" w:eastAsia="黑体" w:cs="Times New Roman"/>
        </w:rPr>
        <w:t>地标生境(Geographical Indications Environment &amp; Sustainability，GIES)</w:t>
      </w:r>
    </w:p>
    <w:p w14:paraId="7FA37A4B">
      <w:pPr>
        <w:keepNext w:val="0"/>
        <w:keepLines w:val="0"/>
        <w:pageBreakBefore w:val="0"/>
        <w:widowControl/>
        <w:kinsoku w:val="0"/>
        <w:wordWrap/>
        <w:overflowPunct/>
        <w:topLinePunct w:val="0"/>
        <w:autoSpaceDE w:val="0"/>
        <w:autoSpaceDN w:val="0"/>
        <w:bidi w:val="0"/>
        <w:adjustRightInd w:val="0"/>
        <w:snapToGrid w:val="0"/>
        <w:ind w:firstLine="480" w:firstLineChars="200"/>
        <w:textAlignment w:val="baseline"/>
        <w:rPr>
          <w:rFonts w:hint="default" w:ascii="Times New Roman" w:hAnsi="Times New Roman" w:cs="Times New Roman"/>
        </w:rPr>
      </w:pPr>
      <w:r>
        <w:rPr>
          <w:rFonts w:hint="default" w:ascii="Times New Roman" w:hAnsi="Times New Roman" w:cs="Times New Roman"/>
        </w:rPr>
        <w:t>地标生境即“优质地理产品生态环境保护与可持续发展”是中国科学院地理资源所、中国地理学会等联合提出的2021-2030十年行动计划，旨在践行“绿水青山就是金山银山”理念和推动联合国2030可持续发展目标实现。</w:t>
      </w:r>
    </w:p>
    <w:p w14:paraId="521402B4">
      <w:pPr>
        <w:keepNext w:val="0"/>
        <w:keepLines w:val="0"/>
        <w:pageBreakBefore w:val="0"/>
        <w:widowControl/>
        <w:kinsoku w:val="0"/>
        <w:wordWrap/>
        <w:overflowPunct/>
        <w:topLinePunct w:val="0"/>
        <w:autoSpaceDE w:val="0"/>
        <w:autoSpaceDN w:val="0"/>
        <w:bidi w:val="0"/>
        <w:adjustRightInd w:val="0"/>
        <w:snapToGrid w:val="0"/>
        <w:ind w:left="0" w:leftChars="0" w:firstLine="480" w:firstLineChars="200"/>
        <w:textAlignment w:val="baseline"/>
        <w:rPr>
          <w:rFonts w:hint="default" w:ascii="Times New Roman" w:hAnsi="Times New Roman" w:eastAsia="黑体" w:cs="Times New Roman"/>
          <w:lang w:val="en-US" w:eastAsia="zh-CN"/>
        </w:rPr>
      </w:pPr>
      <w:r>
        <w:rPr>
          <w:rFonts w:hint="default" w:ascii="Times New Roman" w:hAnsi="Times New Roman" w:eastAsia="黑体" w:cs="Times New Roman"/>
          <w:lang w:val="en-US" w:eastAsia="zh-CN"/>
        </w:rPr>
        <w:t>3.2 郧阳油橄榄 Yunyang olive</w:t>
      </w:r>
    </w:p>
    <w:p w14:paraId="29E7C428">
      <w:pPr>
        <w:bidi w:val="0"/>
        <w:rPr>
          <w:rFonts w:hint="eastAsia" w:ascii="宋体" w:hAnsi="宋体" w:eastAsia="宋体" w:cs="宋体"/>
          <w:szCs w:val="24"/>
        </w:rPr>
      </w:pPr>
      <w:r>
        <w:rPr>
          <w:rFonts w:hint="default"/>
        </w:rPr>
        <w:t>在湖北郧阳独特的地理、气候和生态环境下种植的油橄榄</w:t>
      </w:r>
    </w:p>
    <w:p w14:paraId="389C270D">
      <w:pPr>
        <w:pStyle w:val="5"/>
        <w:bidi w:val="0"/>
        <w:rPr>
          <w:rFonts w:hint="eastAsia"/>
          <w:color w:val="0000FF"/>
          <w:lang w:val="en-US" w:eastAsia="zh-CN"/>
        </w:rPr>
      </w:pPr>
      <w:bookmarkStart w:id="23" w:name="_Toc7584"/>
      <w:r>
        <w:rPr>
          <w:rFonts w:hint="eastAsia"/>
          <w:color w:val="auto"/>
        </w:rPr>
        <w:t xml:space="preserve">4  </w:t>
      </w:r>
      <w:r>
        <w:rPr>
          <w:rFonts w:hint="eastAsia"/>
          <w:color w:val="auto"/>
          <w:lang w:val="en-US" w:eastAsia="zh-CN"/>
        </w:rPr>
        <w:t>产地范围</w:t>
      </w:r>
      <w:bookmarkEnd w:id="23"/>
    </w:p>
    <w:p w14:paraId="6CC67AE4">
      <w:pPr>
        <w:rPr>
          <w:rFonts w:hint="default" w:ascii="Times New Roman" w:hAnsi="Times New Roman" w:cs="Times New Roman"/>
          <w:lang w:val="en-US" w:eastAsia="zh-CN"/>
        </w:rPr>
      </w:pPr>
      <w:r>
        <w:rPr>
          <w:rFonts w:hint="default" w:ascii="Times New Roman" w:hAnsi="Times New Roman" w:cs="Times New Roman"/>
          <w:lang w:val="en-US" w:eastAsia="zh-CN"/>
        </w:rPr>
        <w:t>郧阳区油橄榄产区地处鄂西北，位于鄂豫陕渝四省交界地带，东北部与河南省相依，西部和北部分别与陕西省的白河县和商南县相接</w:t>
      </w:r>
    </w:p>
    <w:p w14:paraId="363838E8">
      <w:pPr>
        <w:pStyle w:val="5"/>
        <w:bidi w:val="0"/>
        <w:rPr>
          <w:rFonts w:hint="default" w:ascii="Times New Roman" w:hAnsi="Times New Roman" w:cs="Times New Roman"/>
        </w:rPr>
      </w:pPr>
      <w:bookmarkStart w:id="24" w:name="bookmark15"/>
      <w:bookmarkEnd w:id="24"/>
      <w:bookmarkStart w:id="25" w:name="_Toc648"/>
      <w:r>
        <w:rPr>
          <w:rFonts w:hint="default" w:ascii="Times New Roman" w:hAnsi="Times New Roman" w:cs="Times New Roman"/>
          <w:lang w:val="en-US" w:eastAsia="zh-CN"/>
        </w:rPr>
        <w:t xml:space="preserve">5  </w:t>
      </w:r>
      <w:r>
        <w:rPr>
          <w:rFonts w:hint="default" w:ascii="Times New Roman" w:hAnsi="Times New Roman" w:cs="Times New Roman"/>
          <w:lang w:val="en-US" w:eastAsia="en-US"/>
        </w:rPr>
        <w:t>生境条件</w:t>
      </w:r>
      <w:bookmarkEnd w:id="25"/>
    </w:p>
    <w:p w14:paraId="7F8301DF">
      <w:pPr>
        <w:bidi w:val="0"/>
        <w:rPr>
          <w:rFonts w:hint="default" w:ascii="Times New Roman" w:hAnsi="Times New Roman" w:eastAsia="黑体" w:cs="Times New Roman"/>
        </w:rPr>
      </w:pPr>
      <w:r>
        <w:rPr>
          <w:rFonts w:hint="default" w:ascii="Times New Roman" w:hAnsi="Times New Roman" w:eastAsia="黑体" w:cs="Times New Roman"/>
          <w:lang w:val="en-US" w:eastAsia="zh-CN"/>
        </w:rPr>
        <w:t xml:space="preserve">5.1 </w:t>
      </w:r>
      <w:r>
        <w:rPr>
          <w:rFonts w:hint="default" w:ascii="Times New Roman" w:hAnsi="Times New Roman" w:eastAsia="黑体" w:cs="Times New Roman"/>
        </w:rPr>
        <w:t>地貌特征</w:t>
      </w:r>
    </w:p>
    <w:p w14:paraId="1A2BCA2E">
      <w:pPr>
        <w:bidi w:val="0"/>
        <w:rPr>
          <w:rFonts w:hint="default" w:ascii="Times New Roman" w:hAnsi="Times New Roman" w:cs="Times New Roman"/>
        </w:rPr>
      </w:pPr>
      <w:r>
        <w:rPr>
          <w:rFonts w:hint="default" w:ascii="Times New Roman" w:hAnsi="Times New Roman" w:cs="Times New Roman"/>
        </w:rPr>
        <w:t>郧阳油橄榄产区位于汉江上游下段秦巴山东延余脉褶皱缓坡地带，属北亚热带低山丘陵河谷地貌，地势总体呈北高南低。案例区海拔为0 m～1 072 m，其中87.8%的区域海拔低于550 m；坡度为0°～67°，其中89%的区域坡度小于25°。油橄榄种植区主要分布于安阳镇和杨溪铺镇汉江河谷两侧海拔600 m以下、坡度小于25°的平缓山坡地带。</w:t>
      </w:r>
    </w:p>
    <w:p w14:paraId="62469F60">
      <w:pPr>
        <w:bidi w:val="0"/>
        <w:rPr>
          <w:rFonts w:hint="default" w:ascii="Times New Roman" w:hAnsi="Times New Roman" w:cs="Times New Roman"/>
        </w:rPr>
      </w:pPr>
      <w:r>
        <w:rPr>
          <w:rFonts w:hint="default" w:ascii="Times New Roman" w:hAnsi="Times New Roman" w:eastAsia="黑体" w:cs="Times New Roman"/>
          <w:lang w:val="en-US" w:eastAsia="zh-CN"/>
        </w:rPr>
        <w:t xml:space="preserve">5.2 </w:t>
      </w:r>
      <w:r>
        <w:rPr>
          <w:rFonts w:hint="default" w:ascii="Times New Roman" w:hAnsi="Times New Roman" w:eastAsia="黑体" w:cs="Times New Roman"/>
        </w:rPr>
        <w:t>日照</w:t>
      </w:r>
    </w:p>
    <w:p w14:paraId="2D4A1B8C">
      <w:pPr>
        <w:bidi w:val="0"/>
        <w:rPr>
          <w:rFonts w:hint="default" w:ascii="Times New Roman" w:hAnsi="Times New Roman" w:cs="Times New Roman"/>
        </w:rPr>
      </w:pPr>
      <w:r>
        <w:rPr>
          <w:rFonts w:hint="default" w:ascii="Times New Roman" w:hAnsi="Times New Roman" w:cs="Times New Roman"/>
        </w:rPr>
        <w:t>光照充足，年均日照1768小时，平均日照百分率为45.0%。</w:t>
      </w:r>
    </w:p>
    <w:p w14:paraId="45088298">
      <w:pPr>
        <w:bidi w:val="0"/>
        <w:rPr>
          <w:rFonts w:hint="default" w:ascii="Times New Roman" w:hAnsi="Times New Roman" w:cs="Times New Roman"/>
        </w:rPr>
      </w:pPr>
      <w:r>
        <w:rPr>
          <w:rFonts w:hint="default" w:ascii="Times New Roman" w:hAnsi="Times New Roman" w:eastAsia="黑体" w:cs="Times New Roman"/>
          <w:lang w:val="en-US" w:eastAsia="zh-CN"/>
        </w:rPr>
        <w:t xml:space="preserve">5.3 </w:t>
      </w:r>
      <w:r>
        <w:rPr>
          <w:rFonts w:hint="default" w:ascii="Times New Roman" w:hAnsi="Times New Roman" w:eastAsia="黑体" w:cs="Times New Roman"/>
        </w:rPr>
        <w:t>气温</w:t>
      </w:r>
    </w:p>
    <w:p w14:paraId="05A02AFE">
      <w:pPr>
        <w:bidi w:val="0"/>
        <w:rPr>
          <w:rFonts w:hint="default" w:ascii="Times New Roman" w:hAnsi="Times New Roman" w:cs="Times New Roman"/>
        </w:rPr>
      </w:pPr>
      <w:r>
        <w:rPr>
          <w:rFonts w:hint="default" w:ascii="Times New Roman" w:hAnsi="Times New Roman" w:cs="Times New Roman"/>
        </w:rPr>
        <w:t>多年平均气温约16.0 ℃，最热月日平均气温约27.6 ℃，最冷月（1月）平均气温约4.0 ℃，≥10 ℃年有效积温约5 139.3 ℃，无霜期约247 d。热量条件较为充足，能够满足油橄榄生长、开花坐果和果实成熟的基本需求。</w:t>
      </w:r>
    </w:p>
    <w:p w14:paraId="6A8ACCFB">
      <w:pPr>
        <w:bidi w:val="0"/>
        <w:rPr>
          <w:rFonts w:hint="default" w:ascii="Times New Roman" w:hAnsi="Times New Roman" w:cs="Times New Roman"/>
        </w:rPr>
      </w:pPr>
      <w:r>
        <w:rPr>
          <w:rFonts w:hint="default" w:ascii="Times New Roman" w:hAnsi="Times New Roman" w:eastAsia="黑体" w:cs="Times New Roman"/>
          <w:lang w:val="en-US" w:eastAsia="zh-CN"/>
        </w:rPr>
        <w:t xml:space="preserve">5.4 </w:t>
      </w:r>
      <w:r>
        <w:rPr>
          <w:rFonts w:hint="default" w:ascii="Times New Roman" w:hAnsi="Times New Roman" w:eastAsia="黑体" w:cs="Times New Roman"/>
        </w:rPr>
        <w:t>降水</w:t>
      </w:r>
    </w:p>
    <w:p w14:paraId="416654E2">
      <w:pPr>
        <w:bidi w:val="0"/>
        <w:rPr>
          <w:rFonts w:hint="default" w:ascii="Times New Roman" w:hAnsi="Times New Roman" w:cs="Times New Roman"/>
        </w:rPr>
      </w:pPr>
      <w:r>
        <w:rPr>
          <w:rFonts w:hint="default" w:ascii="Times New Roman" w:hAnsi="Times New Roman" w:cs="Times New Roman"/>
        </w:rPr>
        <w:t>案例区夏季炎热多雨，最热月日平均气温27.6 ℃，多年平均降水量939.86 mm，年均降水日数约为114天，其中5-9月集中了全年61.6%的降水，高温多雨期和油橄榄生长高峰期同步；冬季寒冷干燥，最冷月（1月）平均温度4.0 ℃，冬季（12~2月）降雨量只占全年降雨量的6.72%。</w:t>
      </w:r>
    </w:p>
    <w:p w14:paraId="21F2F055">
      <w:pPr>
        <w:bidi w:val="0"/>
        <w:rPr>
          <w:rFonts w:hint="default" w:ascii="Times New Roman" w:hAnsi="Times New Roman" w:eastAsia="黑体" w:cs="Times New Roman"/>
        </w:rPr>
      </w:pPr>
      <w:r>
        <w:rPr>
          <w:rFonts w:hint="default" w:ascii="Times New Roman" w:hAnsi="Times New Roman" w:eastAsia="黑体" w:cs="Times New Roman"/>
          <w:lang w:val="en-US" w:eastAsia="zh-CN"/>
        </w:rPr>
        <w:t xml:space="preserve">5.5 </w:t>
      </w:r>
      <w:r>
        <w:rPr>
          <w:rFonts w:hint="default" w:ascii="Times New Roman" w:hAnsi="Times New Roman" w:eastAsia="黑体" w:cs="Times New Roman"/>
        </w:rPr>
        <w:t>土壤</w:t>
      </w:r>
    </w:p>
    <w:p w14:paraId="793E16BE">
      <w:pPr>
        <w:bidi w:val="0"/>
        <w:rPr>
          <w:rFonts w:hint="default" w:ascii="Times New Roman" w:hAnsi="Times New Roman" w:cs="Times New Roman"/>
        </w:rPr>
      </w:pPr>
      <w:r>
        <w:rPr>
          <w:rFonts w:hint="default" w:ascii="Times New Roman" w:hAnsi="Times New Roman" w:cs="Times New Roman"/>
        </w:rPr>
        <w:t>土壤以钙质砂砾黄棕壤为主，中性偏碱（pH平均7.05~7.2）。有机质（1.6%）和氮素（碱解氮平均76.27 mg/kg）普遍不足，仅21.9%的地块不缺氮。全氮（0.06%）、全碳（1.43%）和碳氮比（22.46）呈现表层富集特征。磷、钾含量差异较大，钙含量较高（3989~4485 mg/kg）。</w:t>
      </w:r>
    </w:p>
    <w:p w14:paraId="5C42608E">
      <w:pPr>
        <w:bidi w:val="0"/>
        <w:rPr>
          <w:rFonts w:hint="default" w:ascii="Times New Roman" w:hAnsi="Times New Roman" w:eastAsia="黑体" w:cs="Times New Roman"/>
        </w:rPr>
      </w:pPr>
      <w:r>
        <w:rPr>
          <w:rFonts w:hint="default" w:ascii="Times New Roman" w:hAnsi="Times New Roman" w:eastAsia="黑体" w:cs="Times New Roman"/>
          <w:lang w:val="en-US" w:eastAsia="zh-CN"/>
        </w:rPr>
        <w:t xml:space="preserve">5.6 </w:t>
      </w:r>
      <w:r>
        <w:rPr>
          <w:rFonts w:hint="default" w:ascii="Times New Roman" w:hAnsi="Times New Roman" w:eastAsia="黑体" w:cs="Times New Roman"/>
        </w:rPr>
        <w:t>水源</w:t>
      </w:r>
    </w:p>
    <w:p w14:paraId="33E853EB">
      <w:pPr>
        <w:bidi w:val="0"/>
        <w:rPr>
          <w:rFonts w:hint="default" w:ascii="Times New Roman" w:hAnsi="Times New Roman" w:cs="Times New Roman"/>
        </w:rPr>
      </w:pPr>
      <w:r>
        <w:rPr>
          <w:rFonts w:hint="default" w:ascii="Times New Roman" w:hAnsi="Times New Roman" w:cs="Times New Roman"/>
        </w:rPr>
        <w:t>共有766条河流（总长3351公里），主要河流包括汉江、堵河等。年均地表水资源10.17亿m³，过境客水达331.11亿m³（主要来自汉江）。水质优良，8个监测断面均达Ⅲ类以上标准，其中5个长期保持Ⅱ类。2024年检测显示，灌溉水pH 6.59~7.67，汞、砷、镉等指标远低于农田灌溉及饮用水标准限值。</w:t>
      </w:r>
    </w:p>
    <w:p w14:paraId="049C8AFA">
      <w:pPr>
        <w:bidi w:val="0"/>
        <w:rPr>
          <w:rFonts w:hint="default" w:ascii="Times New Roman" w:hAnsi="Times New Roman" w:eastAsia="黑体" w:cs="Times New Roman"/>
        </w:rPr>
      </w:pPr>
      <w:r>
        <w:rPr>
          <w:rFonts w:hint="default" w:ascii="Times New Roman" w:hAnsi="Times New Roman" w:eastAsia="黑体" w:cs="Times New Roman"/>
          <w:lang w:val="en-US" w:eastAsia="zh-CN"/>
        </w:rPr>
        <w:t xml:space="preserve">5.7 </w:t>
      </w:r>
      <w:r>
        <w:rPr>
          <w:rFonts w:hint="default" w:ascii="Times New Roman" w:hAnsi="Times New Roman" w:eastAsia="黑体" w:cs="Times New Roman"/>
        </w:rPr>
        <w:t>环境空气</w:t>
      </w:r>
    </w:p>
    <w:p w14:paraId="3A86091F">
      <w:pPr>
        <w:bidi w:val="0"/>
        <w:rPr>
          <w:rFonts w:hint="default" w:ascii="Times New Roman" w:hAnsi="Times New Roman" w:cs="Times New Roman"/>
        </w:rPr>
      </w:pPr>
      <w:r>
        <w:rPr>
          <w:rFonts w:hint="default" w:ascii="Times New Roman" w:hAnsi="Times New Roman" w:cs="Times New Roman"/>
        </w:rPr>
        <w:t>环境空气质量标准（GB 3095）的二级标准。</w:t>
      </w:r>
    </w:p>
    <w:p w14:paraId="22636A08">
      <w:pPr>
        <w:pStyle w:val="5"/>
        <w:bidi w:val="0"/>
        <w:rPr>
          <w:rFonts w:hint="eastAsia"/>
        </w:rPr>
      </w:pPr>
      <w:bookmarkStart w:id="26" w:name="_Toc30810"/>
      <w:r>
        <w:rPr>
          <w:rFonts w:hint="eastAsia"/>
          <w:lang w:val="en-US" w:eastAsia="zh-CN"/>
        </w:rPr>
        <w:t xml:space="preserve">6  </w:t>
      </w:r>
      <w:r>
        <w:rPr>
          <w:rFonts w:hint="eastAsia"/>
        </w:rPr>
        <w:t>油橄榄生产</w:t>
      </w:r>
      <w:bookmarkEnd w:id="26"/>
    </w:p>
    <w:p w14:paraId="07E68E9A">
      <w:pPr>
        <w:bidi w:val="0"/>
        <w:rPr>
          <w:rFonts w:hint="eastAsia"/>
        </w:rPr>
      </w:pPr>
      <w:r>
        <w:rPr>
          <w:rFonts w:hint="eastAsia"/>
          <w:lang w:val="en-US" w:eastAsia="zh-CN"/>
        </w:rPr>
        <w:t xml:space="preserve">6.1 </w:t>
      </w:r>
      <w:r>
        <w:rPr>
          <w:rFonts w:hint="eastAsia"/>
        </w:rPr>
        <w:t>品种选择</w:t>
      </w:r>
    </w:p>
    <w:p w14:paraId="3CA03598">
      <w:pPr>
        <w:bidi w:val="0"/>
        <w:rPr>
          <w:rFonts w:hint="eastAsia"/>
        </w:rPr>
      </w:pPr>
      <w:r>
        <w:rPr>
          <w:rFonts w:hint="eastAsia"/>
        </w:rPr>
        <w:t>本区域油橄榄种植选择符合《油橄榄栽培技术规程》（GB/T 20397）和《食用植物油 橄榄油》（GB/T 23347）标准的高产、抗逆性强、油质优良的品种</w:t>
      </w:r>
    </w:p>
    <w:p w14:paraId="3CFDB0DF">
      <w:pPr>
        <w:bidi w:val="0"/>
        <w:rPr>
          <w:rFonts w:hint="eastAsia"/>
        </w:rPr>
      </w:pPr>
      <w:r>
        <w:rPr>
          <w:rFonts w:hint="eastAsia"/>
          <w:lang w:val="en-US" w:eastAsia="zh-CN"/>
        </w:rPr>
        <w:t xml:space="preserve">6.2 </w:t>
      </w:r>
      <w:r>
        <w:rPr>
          <w:rFonts w:hint="eastAsia"/>
        </w:rPr>
        <w:t>建园选址</w:t>
      </w:r>
    </w:p>
    <w:p w14:paraId="422A4E44">
      <w:pPr>
        <w:bidi w:val="0"/>
        <w:rPr>
          <w:rFonts w:hint="eastAsia"/>
        </w:rPr>
      </w:pPr>
      <w:r>
        <w:rPr>
          <w:rFonts w:hint="eastAsia"/>
        </w:rPr>
        <w:t>油橄榄建园选址应优先选择背风向阳、光照充足的阳坡地或缓坡地（坡度≤25°），要求土层深厚（≥80cm）、透气排水良好的砂壤土或壤土，土壤pH值6.5-7.5、有机质含量≥1.5%，并具备可靠灌溉水源和良好排水条件（地下水位低于1.5m）。同时，选址需交通便利，远离污染源，确保年均气温14-20℃、冬季极端低温≥-10℃、年日照时数≥1800小时、年降水量500-1000mm等气候条件适宜油橄榄生长。对不符合要求的土壤需通过增施有机肥或石灰等措施进行改良。</w:t>
      </w:r>
    </w:p>
    <w:p w14:paraId="11B9A35F">
      <w:pPr>
        <w:bidi w:val="0"/>
        <w:rPr>
          <w:rFonts w:hint="eastAsia"/>
        </w:rPr>
      </w:pPr>
      <w:r>
        <w:rPr>
          <w:rFonts w:hint="eastAsia"/>
          <w:lang w:val="en-US" w:eastAsia="zh-CN"/>
        </w:rPr>
        <w:t xml:space="preserve">6.3 </w:t>
      </w:r>
      <w:r>
        <w:rPr>
          <w:rFonts w:hint="eastAsia"/>
        </w:rPr>
        <w:t>栽培标准</w:t>
      </w:r>
    </w:p>
    <w:p w14:paraId="517D73AA">
      <w:pPr>
        <w:bidi w:val="0"/>
        <w:rPr>
          <w:rFonts w:hint="eastAsia"/>
        </w:rPr>
      </w:pPr>
      <w:r>
        <w:rPr>
          <w:rFonts w:hint="eastAsia"/>
        </w:rPr>
        <w:t>产地环境标准严格遵循《NY/T 391 绿色食品产地环境质量》要求</w:t>
      </w:r>
      <w:r>
        <w:rPr>
          <w:rFonts w:hint="eastAsia"/>
          <w:lang w:eastAsia="zh-CN"/>
        </w:rPr>
        <w:t>。</w:t>
      </w:r>
      <w:r>
        <w:rPr>
          <w:rFonts w:hint="eastAsia"/>
        </w:rPr>
        <w:t>肥料使用符合《NY/T 394 绿色食品肥料使用准则》推广水肥一体化技术，禁止使用城市垃圾肥。油橄榄病虫害防治坚持"预防为主、综合防治"原则，优先采用农业防治（选用抗病品种、合理修剪）、生物防治（释放天敌、使用生物农药）和物理防治（诱虫灯、色板）等绿色防控措施。化学防治严格遵循NY/T 393标准</w:t>
      </w:r>
      <w:r>
        <w:rPr>
          <w:rFonts w:hint="eastAsia"/>
          <w:lang w:eastAsia="zh-CN"/>
        </w:rPr>
        <w:t>。</w:t>
      </w:r>
      <w:r>
        <w:rPr>
          <w:rFonts w:hint="eastAsia"/>
        </w:rPr>
        <w:t>依据油橄榄病虫害测报技术规范（LY/T 2892）。全年四次杀菌。采用人工中耕除草。采收在果实成熟度达80%以上（果皮呈现品种特征色，果肉含油率≥18%）、天气晴朗时进行，采用人工采摘方式，轻摘轻放并保留果柄，避免果实损伤。采收后需在2小时内完成初选，剔除病虫果、杂质，并按等级存放于透气容器中（堆高≤50cm），确保8小时内运输至加工厂。用于特级初榨橄榄油的原料须在采收后4小时内完成加工，且禁止混入落地果，以保障油脂品质。</w:t>
      </w:r>
    </w:p>
    <w:p w14:paraId="5B20E454">
      <w:pPr>
        <w:pStyle w:val="5"/>
        <w:bidi w:val="0"/>
        <w:rPr>
          <w:rFonts w:hint="eastAsia"/>
          <w:lang w:val="en-US" w:eastAsia="zh-CN"/>
        </w:rPr>
      </w:pPr>
      <w:bookmarkStart w:id="27" w:name="_Toc18161"/>
      <w:r>
        <w:rPr>
          <w:rFonts w:hint="eastAsia"/>
          <w:lang w:val="en-US" w:eastAsia="zh-CN"/>
        </w:rPr>
        <w:t>7  收获</w:t>
      </w:r>
      <w:bookmarkEnd w:id="27"/>
    </w:p>
    <w:p w14:paraId="59564253">
      <w:pPr>
        <w:bidi w:val="0"/>
        <w:rPr>
          <w:rFonts w:hint="eastAsia"/>
        </w:rPr>
      </w:pPr>
      <w:r>
        <w:rPr>
          <w:rFonts w:hint="eastAsia"/>
        </w:rPr>
        <w:t>采收全过程应避开雨天、高温时段，防止果实霉变或氧化。</w:t>
      </w:r>
    </w:p>
    <w:p w14:paraId="0111DE4B">
      <w:pPr>
        <w:pStyle w:val="5"/>
        <w:bidi w:val="0"/>
        <w:rPr>
          <w:rFonts w:hint="eastAsia"/>
        </w:rPr>
      </w:pPr>
      <w:bookmarkStart w:id="28" w:name="_Toc12791"/>
      <w:r>
        <w:rPr>
          <w:rFonts w:hint="eastAsia"/>
          <w:lang w:val="en-US" w:eastAsia="zh-CN"/>
        </w:rPr>
        <w:t xml:space="preserve">8  </w:t>
      </w:r>
      <w:r>
        <w:rPr>
          <w:rFonts w:hint="eastAsia"/>
        </w:rPr>
        <w:t>加工生产</w:t>
      </w:r>
      <w:bookmarkEnd w:id="28"/>
    </w:p>
    <w:p w14:paraId="64281D12">
      <w:pPr>
        <w:bidi w:val="0"/>
        <w:rPr>
          <w:rFonts w:hint="eastAsia" w:eastAsia="宋体"/>
          <w:lang w:eastAsia="zh-CN"/>
        </w:rPr>
      </w:pPr>
      <w:r>
        <w:rPr>
          <w:rFonts w:hint="eastAsia"/>
        </w:rPr>
        <w:t>加工企业建在交通方便、水源充足，远离粉尘、烟雾、有害气体及污染的地区。厂区内的环境卫生、生产车间卫生、个人卫生健康应符合国家有关规定。油橄榄加工设备所有与被加工原料（油橄榄鲜果、果浆、毛油等）直接接触的零部件，必须采用 食品级不锈钢（304或316L） 或食品级工程塑料（符合GB 4806.7）</w:t>
      </w:r>
      <w:r>
        <w:rPr>
          <w:rFonts w:hint="eastAsia"/>
          <w:lang w:eastAsia="zh-CN"/>
        </w:rPr>
        <w:t>。</w:t>
      </w:r>
    </w:p>
    <w:p w14:paraId="1D88FE09">
      <w:pPr>
        <w:bidi w:val="0"/>
        <w:rPr>
          <w:rFonts w:hint="eastAsia"/>
        </w:rPr>
      </w:pPr>
      <w:r>
        <w:rPr>
          <w:rFonts w:hint="eastAsia"/>
        </w:rPr>
        <w:t>鲜果加工前应进行除叶、分选和清洗，清除枝叶、泥沙、病果、腐烂果及其他杂质。清洗后的鲜果应及时进入后续加工环节，确保叶柄残留≤0.3%、果梗残留≤0.5%；同时建立严格的原料溯源档案，按照GB 5491标准进行每批次取样检测</w:t>
      </w:r>
      <w:r>
        <w:rPr>
          <w:rFonts w:hint="eastAsia"/>
          <w:lang w:eastAsia="zh-CN"/>
        </w:rPr>
        <w:t>。</w:t>
      </w:r>
    </w:p>
    <w:p w14:paraId="76D7E910">
      <w:pPr>
        <w:bidi w:val="0"/>
        <w:rPr>
          <w:rFonts w:hint="eastAsia" w:eastAsia="宋体"/>
          <w:lang w:eastAsia="zh-CN"/>
        </w:rPr>
      </w:pPr>
      <w:r>
        <w:rPr>
          <w:rFonts w:hint="eastAsia"/>
        </w:rPr>
        <w:t>本工艺严格遵循GB/T 23347-2021《橄榄油、油橄榄果渣油》的压榨要求，采用三级低温处理工艺</w:t>
      </w:r>
      <w:r>
        <w:rPr>
          <w:rFonts w:hint="eastAsia"/>
          <w:lang w:eastAsia="zh-CN"/>
        </w:rPr>
        <w:t>。</w:t>
      </w:r>
    </w:p>
    <w:p w14:paraId="7FDDE460">
      <w:pPr>
        <w:bidi w:val="0"/>
        <w:rPr>
          <w:rFonts w:hint="eastAsia"/>
        </w:rPr>
      </w:pPr>
      <w:r>
        <w:rPr>
          <w:rFonts w:hint="eastAsia"/>
        </w:rPr>
        <w:t>油品精制严格遵循GB/T 23347-2021《橄榄油、油橄榄果渣油》中关于精炼油品的相关规定，采用四级精制工艺</w:t>
      </w:r>
    </w:p>
    <w:p w14:paraId="12E7EB50">
      <w:pPr>
        <w:bidi w:val="0"/>
        <w:rPr>
          <w:rFonts w:hint="eastAsia"/>
        </w:rPr>
      </w:pPr>
      <w:r>
        <w:rPr>
          <w:rFonts w:hint="eastAsia"/>
        </w:rPr>
        <w:t>过滤工艺标准采用符合GB 4806.7标准的食品级板框过滤设备，配置孔径≤0.5μm的专用滤材，在恒温（18-22℃）环境下进行多级梯度过滤，确保成品油浊度≤5NTU，同时有效截留粒径≥1μm的悬浮杂质，全过程严格执行GB/T 15687油脂过滤操作规程。</w:t>
      </w:r>
    </w:p>
    <w:p w14:paraId="74975638">
      <w:pPr>
        <w:bidi w:val="0"/>
        <w:rPr>
          <w:rFonts w:hint="eastAsia"/>
        </w:rPr>
      </w:pPr>
      <w:r>
        <w:rPr>
          <w:rFonts w:hint="eastAsia"/>
        </w:rPr>
        <w:t>油品储存管理严格遵循GB/T 23347-2021《橄榄油、油橄榄果渣油》的储存要求，采用316L不锈钢材质储罐（内壁经电解抛光处理，表面粗糙度Ra≤0.4μm），配备氮气保护系统（氧含量≤0.5%）和智能温控系统（15-18℃）；储存过程严格执行GB/T 23347的批次管理规范，建立完整的油品追溯档案，定期进行品质检测（酸价每月1次、过氧化值每季度1次）</w:t>
      </w:r>
      <w:r>
        <w:rPr>
          <w:rFonts w:hint="eastAsia"/>
          <w:lang w:eastAsia="zh-CN"/>
        </w:rPr>
        <w:t>，</w:t>
      </w:r>
      <w:r>
        <w:rPr>
          <w:rFonts w:hint="eastAsia"/>
        </w:rPr>
        <w:t>并在每批次使用前按照GB 14881的卫生要求对储罐进行CIP清洗消毒，确保储运过程的质量安全。</w:t>
      </w:r>
    </w:p>
    <w:p w14:paraId="43F08FF5">
      <w:pPr>
        <w:bidi w:val="0"/>
        <w:rPr>
          <w:rFonts w:hint="eastAsia"/>
        </w:rPr>
      </w:pPr>
      <w:r>
        <w:rPr>
          <w:rFonts w:hint="eastAsia"/>
        </w:rPr>
        <w:t>灌装与包装工艺标准严格遵循GB/T 23347-2021《橄榄油、油橄榄果渣油》和GB 2716-2018《食品安全国家标准 植物油》的相关规定</w:t>
      </w:r>
    </w:p>
    <w:p w14:paraId="1833DFAE">
      <w:pPr>
        <w:bidi w:val="0"/>
        <w:rPr>
          <w:rFonts w:hint="eastAsia"/>
        </w:rPr>
      </w:pPr>
      <w:r>
        <w:rPr>
          <w:rFonts w:hint="eastAsia"/>
        </w:rPr>
        <w:t>废渣处理严格遵循GB 18599《一般工业固体废物贮存和填埋污染控制标准》及NY 525《有机肥料》要求。</w:t>
      </w:r>
    </w:p>
    <w:p w14:paraId="7F225481">
      <w:pPr>
        <w:bidi w:val="0"/>
        <w:rPr>
          <w:rFonts w:hint="eastAsia"/>
        </w:rPr>
      </w:pPr>
      <w:r>
        <w:rPr>
          <w:rFonts w:hint="eastAsia"/>
        </w:rPr>
        <w:t>监控生产加工过程进行检验控制，加工厂应有适应的检验(化验)室和检验设备，检验人员应对油橄榄进厂、加工直至成品出厂全过程进行监督检查，重点做好油橄榄原料验收环节、半成品检验应有原始记录，原始记录的格式应规范、填写认真、字迹清楚、各项原始记录按规定保存。</w:t>
      </w:r>
    </w:p>
    <w:p w14:paraId="30FA7361">
      <w:pPr>
        <w:bidi w:val="0"/>
        <w:rPr>
          <w:rFonts w:hint="eastAsia"/>
        </w:rPr>
      </w:pPr>
      <w:r>
        <w:rPr>
          <w:rFonts w:hint="eastAsia"/>
        </w:rPr>
        <w:t>加工企业应制定质量方针，各个岗位应有完善的管理制度，即从原材料到成品出厂的质量管理制度，对各项制度应保证运行有效。</w:t>
      </w:r>
    </w:p>
    <w:p w14:paraId="4C239095">
      <w:pPr>
        <w:bidi w:val="0"/>
        <w:rPr>
          <w:rFonts w:hint="eastAsia"/>
        </w:rPr>
      </w:pPr>
      <w:r>
        <w:rPr>
          <w:rFonts w:hint="eastAsia"/>
        </w:rPr>
        <w:t>人员健康、设备、油橄榄档案，油橄榄产地环境和生产技术档案，生产车间的交接班记录，检验室计量器具档案和使用记录，检验报告及记录等都需具备并妥善保存。建立原料溯源档案（包含产地环境、种植记录等）。保存设备维护记录、检验报告等（保存期≥产品保质期+6个月）</w:t>
      </w:r>
    </w:p>
    <w:p w14:paraId="5C9CB56A">
      <w:pPr>
        <w:bidi w:val="0"/>
        <w:rPr>
          <w:rFonts w:hint="eastAsia"/>
        </w:rPr>
      </w:pPr>
      <w:r>
        <w:rPr>
          <w:rFonts w:hint="eastAsia"/>
        </w:rPr>
        <w:t>进行油橄榄及加工成品加工质量的检验，对成品卫生指标的检验应由省级以上认可的检验机构承担。检查加工企业应定期评审管理制度实施情况，对生产车间每月进行一次制度实施检查，对成品库每月进行一次制度实施检查。</w:t>
      </w:r>
    </w:p>
    <w:p w14:paraId="7BBD6277">
      <w:pPr>
        <w:bidi w:val="0"/>
        <w:rPr>
          <w:rFonts w:hint="eastAsia"/>
        </w:rPr>
      </w:pPr>
      <w:r>
        <w:rPr>
          <w:rFonts w:hint="eastAsia"/>
        </w:rPr>
        <w:t>对油橄榄产品实施全过程储运管理：在运输环节，必须使用专用食品级运输车辆，配备GPS温控监控系统，确保全程温度控制在12-18℃范围内；运输车辆必须清洁卫生，经消毒处理并持有检验合格证明，运输过程中需采取防雨、防晒、防震措施，严禁与有毒有害物品混运。</w:t>
      </w:r>
    </w:p>
    <w:p w14:paraId="02610D03">
      <w:pPr>
        <w:pStyle w:val="5"/>
        <w:bidi w:val="0"/>
        <w:rPr>
          <w:rFonts w:hint="eastAsia"/>
        </w:rPr>
      </w:pPr>
      <w:bookmarkStart w:id="29" w:name="_Toc30648"/>
      <w:r>
        <w:rPr>
          <w:rFonts w:hint="eastAsia"/>
          <w:lang w:val="en-US" w:eastAsia="zh-CN"/>
        </w:rPr>
        <w:t xml:space="preserve">9  </w:t>
      </w:r>
      <w:r>
        <w:rPr>
          <w:rFonts w:hint="eastAsia"/>
        </w:rPr>
        <w:t>销售</w:t>
      </w:r>
      <w:bookmarkEnd w:id="29"/>
    </w:p>
    <w:p w14:paraId="563633BB">
      <w:pPr>
        <w:bidi w:val="0"/>
        <w:rPr>
          <w:rFonts w:hint="eastAsia"/>
        </w:rPr>
      </w:pPr>
      <w:r>
        <w:rPr>
          <w:rFonts w:hint="eastAsia"/>
        </w:rPr>
        <w:t>由郧阳区政府对申请企业的郧阳油橄榄种植、加工、仓储等环节进行审核，符合郧阳油橄榄的标准后颁发授权证书。</w:t>
      </w:r>
    </w:p>
    <w:p w14:paraId="551346CA">
      <w:pPr>
        <w:pStyle w:val="5"/>
        <w:bidi w:val="0"/>
        <w:rPr>
          <w:rFonts w:hint="eastAsia"/>
        </w:rPr>
      </w:pPr>
      <w:bookmarkStart w:id="30" w:name="_Toc12390"/>
      <w:r>
        <w:rPr>
          <w:rFonts w:hint="eastAsia"/>
          <w:lang w:val="en-US" w:eastAsia="zh-CN"/>
        </w:rPr>
        <w:t xml:space="preserve">10  </w:t>
      </w:r>
      <w:r>
        <w:rPr>
          <w:rFonts w:hint="eastAsia"/>
        </w:rPr>
        <w:t>管理</w:t>
      </w:r>
      <w:bookmarkEnd w:id="30"/>
    </w:p>
    <w:p w14:paraId="320FDBD4">
      <w:pPr>
        <w:bidi w:val="0"/>
        <w:rPr>
          <w:rFonts w:hint="eastAsia"/>
        </w:rPr>
      </w:pPr>
      <w:r>
        <w:rPr>
          <w:rFonts w:hint="eastAsia"/>
        </w:rPr>
        <w:t>构建多层级、专业化的工作团队，明确权责边界与协作机制，确保郧阳油橄榄从生产到销售的全链条管理责任到人。领导小组统筹行政资源与政策支持，技术团队提供科学支撑与执行保障，形成“政府引导+专家指导+属地落实”的协同体系，解决跨部门协作低效、技术标准执行偏差等问题，为标准化建设提供组织保障。</w:t>
      </w:r>
    </w:p>
    <w:p w14:paraId="6E30EB89">
      <w:pPr>
        <w:bidi w:val="0"/>
        <w:rPr>
          <w:rFonts w:hint="eastAsia"/>
        </w:rPr>
      </w:pPr>
      <w:r>
        <w:rPr>
          <w:rFonts w:hint="eastAsia"/>
        </w:rPr>
        <w:t>具有资质的企业需要向郧阳市市场监督管理局提交营业执照、卫生许可证、质量管理手册等相关文件进行备案，方可对“郧阳油橄榄”进行加工生产。</w:t>
      </w:r>
    </w:p>
    <w:p w14:paraId="008A9C8E">
      <w:pPr>
        <w:bidi w:val="0"/>
        <w:rPr>
          <w:rFonts w:hint="eastAsia"/>
        </w:rPr>
      </w:pPr>
      <w:r>
        <w:rPr>
          <w:rFonts w:hint="eastAsia"/>
        </w:rPr>
        <w:t>对未按照“郧阳油橄榄”加工标准的、超范围种植的、使用非标投入品的企业，取消授权资格并摘牌，相关信息纳入信用黑名单，公示期≥2年。</w:t>
      </w:r>
    </w:p>
    <w:p w14:paraId="67D785A7">
      <w:pPr>
        <w:pStyle w:val="3"/>
        <w:bidi w:val="0"/>
        <w:rPr>
          <w:rFonts w:hint="eastAsia"/>
        </w:rPr>
      </w:pPr>
      <w:bookmarkStart w:id="31" w:name="_Toc12232"/>
      <w:bookmarkStart w:id="32" w:name="_Toc19768"/>
      <w:r>
        <w:rPr>
          <w:rFonts w:hint="eastAsia"/>
        </w:rPr>
        <w:t>三 、主要试验 （或验证） 情况分析</w:t>
      </w:r>
      <w:bookmarkEnd w:id="31"/>
      <w:bookmarkEnd w:id="32"/>
    </w:p>
    <w:p w14:paraId="19BDCF55">
      <w:pPr>
        <w:bidi w:val="0"/>
        <w:rPr>
          <w:rFonts w:hint="eastAsia"/>
        </w:rPr>
      </w:pPr>
      <w:r>
        <w:rPr>
          <w:rFonts w:hint="eastAsia"/>
        </w:rPr>
        <w:t>为科学界定《地标生境 郧阳油橄榄北亚热带低山丘陵案例》的保护范围、生境条件和产品品质特征，编制组在</w:t>
      </w:r>
      <w:r>
        <w:rPr>
          <w:rFonts w:hint="eastAsia"/>
          <w:lang w:val="en-US" w:eastAsia="zh-CN"/>
        </w:rPr>
        <w:t>郧阳油橄榄案例区</w:t>
      </w:r>
      <w:r>
        <w:rPr>
          <w:rFonts w:hint="eastAsia"/>
        </w:rPr>
        <w:t>综合采用地形分析、长期气象统计、遥感解译、实地采样和实验室检测等方法，对案例区地形地貌、气候、土地利用与植被、土壤、灌溉水、主栽品种及橄榄油品质进行了验证。案例区位于郧阳区安阳镇和杨溪铺镇汉江河谷低山丘陵地带，核心油橄榄种植面积为2 060 hm²。相关数据集由85个数据文件组成，数据量为169 MB，涵盖案例区范围、自然地理、油橄榄产品特性、经营管理、社会经济和历史文化等数据，为本标准主要技术条款提供了较系统的数据支撑。</w:t>
      </w:r>
    </w:p>
    <w:p w14:paraId="479832F4">
      <w:pPr>
        <w:bidi w:val="0"/>
        <w:rPr>
          <w:rFonts w:hint="eastAsia"/>
        </w:rPr>
      </w:pPr>
      <w:r>
        <w:rPr>
          <w:rFonts w:hint="eastAsia"/>
        </w:rPr>
        <w:t>（一）案例范围与低山丘陵地形特征验证</w:t>
      </w:r>
    </w:p>
    <w:p w14:paraId="37531431">
      <w:pPr>
        <w:bidi w:val="0"/>
        <w:rPr>
          <w:rFonts w:hint="eastAsia"/>
        </w:rPr>
      </w:pPr>
      <w:r>
        <w:rPr>
          <w:rFonts w:hint="eastAsia"/>
        </w:rPr>
        <w:t>案例区选择安阳镇和杨溪铺镇作为核心研究区域。2024年，安阳镇和杨溪铺镇油橄榄种植面积分别为14.67 km²和5.93 km²，合计20.60 km²，即2 060 hm²，与本案例核心种植面积相一致。基于SRTM地形数据分析，案例区海拔范围为0～1 072 m，其中87.8%的区域海拔低于550 m；坡度范围为0°～67°，其中89%的区域坡度小于25°。油橄榄实际种植区主要分布于海拔600 m以下、坡度小于25°的平缓山坡地带。上述结果表明，案例区具有以汉江河谷、低山丘陵和缓坡地为主的典型地貌组合，能够为标准名称中的“北亚热带低山丘陵案例”、保护范围划定以及建园地形条件提供直接依据。</w:t>
      </w:r>
    </w:p>
    <w:p w14:paraId="35C550BC">
      <w:pPr>
        <w:bidi w:val="0"/>
        <w:rPr>
          <w:rFonts w:hint="eastAsia"/>
        </w:rPr>
      </w:pPr>
      <w:r>
        <w:rPr>
          <w:rFonts w:hint="eastAsia"/>
        </w:rPr>
        <w:t>（二）气候适宜性验证</w:t>
      </w:r>
    </w:p>
    <w:p w14:paraId="052F5828">
      <w:pPr>
        <w:bidi w:val="0"/>
        <w:rPr>
          <w:rFonts w:hint="eastAsia"/>
        </w:rPr>
      </w:pPr>
      <w:r>
        <w:rPr>
          <w:rFonts w:hint="eastAsia"/>
        </w:rPr>
        <w:t>依据1960—2024年气象资料，案例区属于北亚热带大陆性季风气候，并受到秦岭、大巴山和丹江口水库共同作用形成的局地小气候调节。多年平均气温为16 ℃，最高温和最低温多年均值分别为21.4 ℃和12.6 ℃，气温年较差为23.6 ℃；≥10 ℃年有效积温为5 139.3 ℃。最热月日平均气温为27.6 ℃，最冷月（1月）平均气温为4.0 ℃。多年平均降水量为939.86 mm，年均降水日数约114 d，其中5—9月降水量占全年降水量的61.6%，冬季降水量占全年降水量的6.72%。年均日照时数为1 768 h，平均日照百分率为45.0%，无霜期约247 d。上述光热条件能够满足油橄榄生长和果实发育需要，也表明郧阳油橄榄生境具有夏季高温多雨、冬季相对寒冷干燥的区域特征。因此，标准除规定适宜的光热条件外，还应重视高温多雨期果园排水、通风和病害防控，以及冬季低温防护。</w:t>
      </w:r>
    </w:p>
    <w:p w14:paraId="439FF179">
      <w:pPr>
        <w:bidi w:val="0"/>
        <w:rPr>
          <w:rFonts w:hint="eastAsia"/>
        </w:rPr>
      </w:pPr>
      <w:r>
        <w:rPr>
          <w:rFonts w:hint="eastAsia"/>
        </w:rPr>
        <w:t>（三）土地利用与植被覆盖验证</w:t>
      </w:r>
    </w:p>
    <w:p w14:paraId="4758C734">
      <w:pPr>
        <w:bidi w:val="0"/>
        <w:rPr>
          <w:rFonts w:hint="eastAsia"/>
        </w:rPr>
      </w:pPr>
    </w:p>
    <w:p w14:paraId="61235D9A">
      <w:pPr>
        <w:bidi w:val="0"/>
        <w:rPr>
          <w:rFonts w:hint="eastAsia"/>
        </w:rPr>
      </w:pPr>
      <w:r>
        <w:rPr>
          <w:rFonts w:hint="eastAsia"/>
        </w:rPr>
        <w:t>基于10 m空间分辨率CRLC土地利用数据分析，案例区土地利用以林地、耕地和草地为主，分别占案例区面积的43.71%、34.39%和11.18%，构成林地、农地、草地与水体相互镶嵌的低山丘陵生态景观。利用2000—2024年遥感数据开展植被变化分析，结果显示案例区植被覆盖整体呈改善趋势，NDVI呈上升趋势的区域占比达到92%。该结果说明案例区整体植被生态状况较好，油橄榄种植与区域植被恢复具有较好的空间协调性，可为标准中果园植被保护、行间生草、地表覆盖和水土保持等要求提供依据。</w:t>
      </w:r>
    </w:p>
    <w:p w14:paraId="6C5BDC3E">
      <w:pPr>
        <w:bidi w:val="0"/>
        <w:rPr>
          <w:rFonts w:hint="eastAsia"/>
        </w:rPr>
      </w:pPr>
      <w:r>
        <w:rPr>
          <w:rFonts w:hint="eastAsia"/>
        </w:rPr>
        <w:t>（四）土壤环境质量与肥力验证</w:t>
      </w:r>
    </w:p>
    <w:p w14:paraId="783C5E9F">
      <w:pPr>
        <w:bidi w:val="0"/>
        <w:rPr>
          <w:rFonts w:hint="eastAsia"/>
        </w:rPr>
      </w:pPr>
      <w:r>
        <w:rPr>
          <w:rFonts w:hint="eastAsia"/>
        </w:rPr>
        <w:t>2024年5月，研究团队根据油橄榄种植分布，在案例区布设9个土壤采样点，按照0～10 cm、10～20 cm、20～40 cm、40～60 cm和60～80 cm等土层采集44个土壤样品，并送中国科学院地理科学与资源研究所理化分析中心检测。检测项目包括土壤pH、全氮、有机质、有效磷、速效钾，以及铬、镍、铜、锌、镉、铅、汞和砷等重金属。</w:t>
      </w:r>
    </w:p>
    <w:p w14:paraId="61253E95">
      <w:pPr>
        <w:bidi w:val="0"/>
        <w:rPr>
          <w:rFonts w:hint="eastAsia"/>
        </w:rPr>
      </w:pPr>
      <w:r>
        <w:rPr>
          <w:rFonts w:hint="eastAsia"/>
        </w:rPr>
        <w:t>检测结果表明，案例区土壤以钙质砂砾黄棕壤为主，土壤pH为6.17～7.50，平均值为7.03，整体呈中性。土壤有机质含量为10.5～31.3 g/kg，其中表层土壤为16.9～31.3 g/kg，9个样点中有7个样点的表层有机质达到全国第二次土壤普查养分含量二级标准。全氮含量为0.15～1.48 g/kg，仅4个样点的表层全氮达到二级标准，其余样点表层全氮处于四级水平，表明部分果园氮素供应相对不足。有效磷和速效钾含量分别为12.0～34.4 mg/kg和93～193 mg/kg，表层含量分别为23.3～34.4 mg/kg和141～193 mg/kg，均达到全国第二次土壤普查养分含量二级标准。</w:t>
      </w:r>
    </w:p>
    <w:p w14:paraId="60C75A08">
      <w:pPr>
        <w:bidi w:val="0"/>
        <w:rPr>
          <w:rFonts w:hint="eastAsia"/>
        </w:rPr>
      </w:pPr>
      <w:r>
        <w:rPr>
          <w:rFonts w:hint="eastAsia"/>
        </w:rPr>
        <w:t>44个土壤样品中的砷、镉、铅、铬、镍、铜、锌和汞含量均低于GB 15618—2018规定的农用地土壤污染风险筛选值，土壤中未检出六六六和滴滴涕残留，说明案例区土壤环境质量总体安全、无明显污染。验证结果能够支撑标准中土壤pH、土壤环境安全和养分管理条款；同时，针对部分样点全氮含量偏低的情况，标准宜强调有机肥培肥、配方施肥和氮磷钾平衡管理，而不宜笼统认定所有果园土壤肥力均处于较高水平。</w:t>
      </w:r>
    </w:p>
    <w:p w14:paraId="6CE873DA">
      <w:pPr>
        <w:bidi w:val="0"/>
        <w:rPr>
          <w:rFonts w:hint="eastAsia"/>
        </w:rPr>
      </w:pPr>
      <w:r>
        <w:rPr>
          <w:rFonts w:hint="eastAsia"/>
        </w:rPr>
        <w:t>（五）灌溉水水质验证</w:t>
      </w:r>
    </w:p>
    <w:p w14:paraId="6E32B6CF">
      <w:pPr>
        <w:bidi w:val="0"/>
        <w:rPr>
          <w:rFonts w:hint="eastAsia"/>
        </w:rPr>
      </w:pPr>
      <w:r>
        <w:rPr>
          <w:rFonts w:hint="eastAsia"/>
        </w:rPr>
        <w:t>郧阳区水资源较为丰富，案例区油橄榄水分补给以自然降水为主，在季节性干旱时期辅以灌溉。2024年5月，研究团队在安阳镇和杨溪铺镇布设6个水样采集点，采集河水及灌溉水样品，检测16项基本控制指标和总铜、总锌、总硒、总硼4项选择控制指标。</w:t>
      </w:r>
    </w:p>
    <w:p w14:paraId="70ED756A">
      <w:pPr>
        <w:bidi w:val="0"/>
        <w:rPr>
          <w:rFonts w:hint="eastAsia"/>
        </w:rPr>
      </w:pPr>
      <w:r>
        <w:rPr>
          <w:rFonts w:hint="eastAsia"/>
        </w:rPr>
        <w:t>检测结果显示，6个水样pH为6.59～7.67；水温、悬浮物、五日生化需氧量、化学需氧量、阴离子表面活性剂、氯化物、硫化物、全盐量、总铅、总镉、六价铬、总汞、总砷、粪大肠菌群数、蛔虫卵数以及总铜、总锌、总硒和总硼等指标，均符合HJ/T 332—2006和GB 5084—2021的限值要求。除部分样品总硒指标外，其余指标同时满足GB 5749—2022的相关要求。结果表明案例区灌溉水水质良好，能够满足油橄榄生产用水要求，并为标准中灌溉水质量和南水北调核心水源区水环境保护要求提供数据依据。</w:t>
      </w:r>
    </w:p>
    <w:p w14:paraId="7E784F9B">
      <w:pPr>
        <w:bidi w:val="0"/>
        <w:rPr>
          <w:rFonts w:hint="eastAsia"/>
        </w:rPr>
      </w:pPr>
      <w:r>
        <w:rPr>
          <w:rFonts w:hint="eastAsia"/>
        </w:rPr>
        <w:t>（六）主栽品种特性与区域适应性资料验证</w:t>
      </w:r>
    </w:p>
    <w:p w14:paraId="2610AC74">
      <w:pPr>
        <w:bidi w:val="0"/>
        <w:rPr>
          <w:rFonts w:hint="eastAsia"/>
        </w:rPr>
      </w:pPr>
      <w:r>
        <w:rPr>
          <w:rFonts w:hint="eastAsia"/>
        </w:rPr>
        <w:t>案例区主要栽培品种包括豆果、奇迹、阿尔波萨纳、鄂植8号、皮瓜尔和皮削利，其中皮瓜尔、皮削利和豆果组成的“两皮一豆”种植面积较广。现有品种特性资料显示，豆果成熟较早，一般于10月中下旬成熟，鲜果含油率为26.46%；皮瓜尔一般于11月中下旬成熟，鲜果含油率为20.63%～23.81%，抗寒性较强，但对干旱较敏感；皮削利鲜果含油率为18%～20%，喜光、耐旱、耐瘠薄和石灰质土壤，但忌积水和土壤通透性差。上述品种特征与案例区中性偏钙质土壤、较充足光照以及低山丘陵缓坡地形具有一定适配性，可支撑标准对主栽品种和适生品种作推荐性规定。</w:t>
      </w:r>
    </w:p>
    <w:p w14:paraId="35255EA2">
      <w:pPr>
        <w:bidi w:val="0"/>
        <w:rPr>
          <w:rFonts w:hint="eastAsia"/>
        </w:rPr>
      </w:pPr>
      <w:r>
        <w:rPr>
          <w:rFonts w:hint="eastAsia"/>
        </w:rPr>
        <w:t>需要说明的是，现有案例研究主要汇集了品种特性资料和区域生产实践，未提供不同品种在相同试验条件下的多年产量、坐果率、越冬成活率和抗病性对比试验结果。因此，如标准拟对单一品种设置强制性产量、含油率或适应性限值，仍需补充多年、多点区域试验数据。</w:t>
      </w:r>
    </w:p>
    <w:p w14:paraId="263ED4E7">
      <w:pPr>
        <w:bidi w:val="0"/>
        <w:rPr>
          <w:rFonts w:hint="eastAsia"/>
        </w:rPr>
      </w:pPr>
      <w:r>
        <w:rPr>
          <w:rFonts w:hint="eastAsia"/>
        </w:rPr>
        <w:t>（七）橄榄油品质与安全性验证</w:t>
      </w:r>
    </w:p>
    <w:p w14:paraId="16693DBE">
      <w:pPr>
        <w:bidi w:val="0"/>
        <w:rPr>
          <w:rFonts w:hint="eastAsia"/>
        </w:rPr>
      </w:pPr>
      <w:r>
        <w:rPr>
          <w:rFonts w:hint="eastAsia"/>
        </w:rPr>
        <w:t>对皮削利、皮瓜尔和豆果3个主栽品种的油脂组成进行检测，结果表明，油酸含量为64.53%～77.74%，亚油酸含量为3.32%～12.20%；其中皮瓜尔、皮削利的油酸含量较高，豆果的亚油酸含量相对较高。此外，橄榄油多酚含量为273.00 mg/kg，处于已报道国产特级初榨橄榄油多酚含量范围内。上述结果能够反映郧阳油橄榄以单不饱和脂肪酸为主、具有一定多酚含量的产品品质特征。</w:t>
      </w:r>
    </w:p>
    <w:p w14:paraId="0574652C">
      <w:pPr>
        <w:bidi w:val="0"/>
        <w:rPr>
          <w:rFonts w:hint="eastAsia"/>
        </w:rPr>
      </w:pPr>
      <w:r>
        <w:rPr>
          <w:rFonts w:hint="eastAsia"/>
        </w:rPr>
        <w:t>产品安全性检测结果显示，橄榄油中未检出总砷和铅，按照检测时采用的食品安全污染物限量标准判定为合格；同时未检出毒死稗、敌百虫等375项农药残留，符合检测时采用的农药最大残留限量要求。该结果表明案例区橄榄油样品具有较好的质量安全基础，可为标准中污染物、农药残留和产品品质要求提供验证依据。但现有资料未给出多年份、多企业、多加工批次的完整样本分布，油酸、多酚等地域特色指标宜作为推荐性或特征性指标，不宜仅依据单批次检测结果直接设定过严的强制限值。</w:t>
      </w:r>
    </w:p>
    <w:p w14:paraId="72725CB5">
      <w:pPr>
        <w:bidi w:val="0"/>
        <w:rPr>
          <w:rFonts w:hint="eastAsia"/>
        </w:rPr>
      </w:pPr>
      <w:r>
        <w:rPr>
          <w:rFonts w:hint="eastAsia"/>
        </w:rPr>
        <w:t>（八）综合验证结论及尚需补充的内容</w:t>
      </w:r>
    </w:p>
    <w:p w14:paraId="32663D7F">
      <w:pPr>
        <w:bidi w:val="0"/>
        <w:rPr>
          <w:rFonts w:hint="eastAsia" w:ascii="宋体" w:hAnsi="宋体" w:eastAsia="宋体" w:cs="宋体"/>
        </w:rPr>
      </w:pPr>
      <w:r>
        <w:rPr>
          <w:rFonts w:hint="eastAsia"/>
        </w:rPr>
        <w:t>综合地形、气候、遥感、土壤、水质、品种和产品检测结果，案例区具有明确的北亚热带低山丘陵地域特征：油橄榄集中分布于汉江河谷海拔600 m以下、坡度小于25°的缓坡区域；光热资源充足、无霜期较长；土地利用以林地、耕地和草地为主，植被覆盖总体改善；土壤接近中性且环境安全；灌溉水符合农田灌溉水质要求；主栽品种和橄榄油脂肪酸组成具有较清晰的产品特征。上述数据能够支撑标准中保护范围、地形地貌、气候、土壤、水质、植被、品种选择和产品安全等主要条款。</w:t>
      </w:r>
    </w:p>
    <w:p w14:paraId="10DB7618">
      <w:pPr>
        <w:pStyle w:val="3"/>
        <w:bidi w:val="0"/>
        <w:rPr>
          <w:rFonts w:hint="eastAsia" w:ascii="宋体" w:hAnsi="宋体" w:eastAsia="宋体" w:cs="宋体"/>
        </w:rPr>
      </w:pPr>
      <w:bookmarkStart w:id="33" w:name="_Toc20619"/>
      <w:bookmarkStart w:id="34" w:name="_Toc13345"/>
      <w:r>
        <w:rPr>
          <w:rFonts w:hint="eastAsia"/>
        </w:rPr>
        <w:t>四 、标准中涉及专利的情况</w:t>
      </w:r>
      <w:bookmarkEnd w:id="33"/>
      <w:bookmarkEnd w:id="34"/>
    </w:p>
    <w:p w14:paraId="035B4489">
      <w:pPr>
        <w:bidi w:val="0"/>
        <w:rPr>
          <w:rFonts w:hint="eastAsia" w:ascii="宋体" w:hAnsi="宋体" w:eastAsia="宋体" w:cs="宋体"/>
        </w:rPr>
      </w:pPr>
      <w:r>
        <w:rPr>
          <w:rFonts w:hint="eastAsia"/>
        </w:rPr>
        <w:t>本文件不涉及专利问题。</w:t>
      </w:r>
    </w:p>
    <w:p w14:paraId="515F1163">
      <w:pPr>
        <w:pStyle w:val="3"/>
        <w:bidi w:val="0"/>
        <w:rPr>
          <w:rFonts w:hint="eastAsia" w:ascii="宋体" w:hAnsi="宋体" w:eastAsia="宋体" w:cs="宋体"/>
        </w:rPr>
      </w:pPr>
      <w:bookmarkStart w:id="35" w:name="_Toc16175"/>
      <w:bookmarkStart w:id="36" w:name="_Toc20863"/>
      <w:r>
        <w:rPr>
          <w:rFonts w:hint="eastAsia"/>
        </w:rPr>
        <w:t>五 、预期达到的社会效益</w:t>
      </w:r>
      <w:bookmarkEnd w:id="35"/>
      <w:bookmarkEnd w:id="36"/>
    </w:p>
    <w:p w14:paraId="45D736BF">
      <w:pPr>
        <w:bidi w:val="0"/>
        <w:rPr>
          <w:rFonts w:hint="eastAsia"/>
        </w:rPr>
      </w:pPr>
      <w:r>
        <w:rPr>
          <w:rFonts w:hint="eastAsia"/>
        </w:rPr>
        <w:t>本标准实施后，将推动郧阳油橄榄保护由单一产品和品牌管理向山地果园生境、适生栽培、鲜果质量和橄榄油品质协同保护转变，为种植户、合作社、加工企业、检测机构和管理部门提供统一技术依据。</w:t>
      </w:r>
    </w:p>
    <w:p w14:paraId="254733F6">
      <w:pPr>
        <w:bidi w:val="0"/>
        <w:rPr>
          <w:rFonts w:hint="eastAsia"/>
        </w:rPr>
      </w:pPr>
      <w:r>
        <w:rPr>
          <w:rFonts w:hint="eastAsia"/>
        </w:rPr>
        <w:t>在生态效益方面，通过明确坡地建园、水土保持、果园生草、投入品控制、灌溉水质量和加工废弃物处理要求，有助于减少坡面侵蚀和农业面源污染，保护丹江口库区周边生态环境。</w:t>
      </w:r>
    </w:p>
    <w:p w14:paraId="3BE3F6E2">
      <w:pPr>
        <w:bidi w:val="0"/>
        <w:rPr>
          <w:rFonts w:hint="eastAsia"/>
        </w:rPr>
      </w:pPr>
      <w:r>
        <w:rPr>
          <w:rFonts w:hint="eastAsia"/>
        </w:rPr>
        <w:t>在经济效益方面，通过规范适生品种、采收成熟度、采后运输和加工时效，能够降低鲜果发热、发酵和酸败造成的质量损失，提高橄榄油品质稳定性和优质产品识别度，促进种植和加工环节提质增效。</w:t>
      </w:r>
    </w:p>
    <w:p w14:paraId="690DB2DF">
      <w:pPr>
        <w:bidi w:val="0"/>
        <w:rPr>
          <w:rFonts w:hint="eastAsia"/>
        </w:rPr>
      </w:pPr>
      <w:r>
        <w:rPr>
          <w:rFonts w:hint="eastAsia"/>
        </w:rPr>
        <w:t>在社会效益方面，标准可促进科研、政府、企业、合作社和种植户协同，提升从业人员标准化生产和质量控制水平，为油橄榄产业就业、农户增收和乡村特色产业发展提供技术支撑。</w:t>
      </w:r>
    </w:p>
    <w:p w14:paraId="7284E379">
      <w:pPr>
        <w:bidi w:val="0"/>
        <w:rPr>
          <w:rFonts w:hint="eastAsia"/>
        </w:rPr>
      </w:pPr>
      <w:r>
        <w:rPr>
          <w:rFonts w:hint="eastAsia"/>
        </w:rPr>
        <w:t>在文化效益方面，标准有助于系统梳理郧阳油橄榄引种发展历程，保护和传播“总理树”等地方历史文化资源，推动油橄榄生态农业、产业展示和地方文化传承相结合。</w:t>
      </w:r>
    </w:p>
    <w:p w14:paraId="0FCD8F23">
      <w:pPr>
        <w:pStyle w:val="3"/>
        <w:bidi w:val="0"/>
        <w:rPr>
          <w:rFonts w:hint="eastAsia" w:ascii="宋体" w:hAnsi="宋体" w:eastAsia="宋体" w:cs="宋体"/>
          <w:szCs w:val="28"/>
        </w:rPr>
      </w:pPr>
      <w:bookmarkStart w:id="37" w:name="_Toc25831"/>
      <w:bookmarkStart w:id="38" w:name="_Toc9351"/>
      <w:r>
        <w:rPr>
          <w:rFonts w:hint="eastAsia"/>
        </w:rPr>
        <w:t>六 、采用国际标准和国外先进标准的情况</w:t>
      </w:r>
      <w:bookmarkEnd w:id="37"/>
      <w:bookmarkEnd w:id="38"/>
    </w:p>
    <w:p w14:paraId="4D057417">
      <w:pPr>
        <w:bidi w:val="0"/>
        <w:rPr>
          <w:rFonts w:hint="eastAsia" w:eastAsia="宋体"/>
          <w:lang w:val="en-US" w:eastAsia="zh-CN"/>
        </w:rPr>
      </w:pPr>
      <w:r>
        <w:rPr>
          <w:rFonts w:hint="eastAsia"/>
        </w:rPr>
        <w:t>经过前期充分调研和广泛收集资料，本标准在制定过程中，未检索到以“地标生境”（GIES）为核心理念、将生境条件系统性纳入地理标志产品保护的国际标准或国外先进标准。因此，本标准未采用国际标准</w:t>
      </w:r>
      <w:r>
        <w:rPr>
          <w:rFonts w:hint="eastAsia"/>
          <w:lang w:eastAsia="zh-CN"/>
        </w:rPr>
        <w:t>。</w:t>
      </w:r>
    </w:p>
    <w:p w14:paraId="6A56D75F">
      <w:pPr>
        <w:pStyle w:val="3"/>
        <w:bidi w:val="0"/>
        <w:rPr>
          <w:rFonts w:hint="eastAsia" w:ascii="宋体" w:hAnsi="宋体" w:eastAsia="宋体" w:cs="宋体"/>
          <w:szCs w:val="28"/>
        </w:rPr>
      </w:pPr>
      <w:bookmarkStart w:id="39" w:name="_Toc12673"/>
      <w:bookmarkStart w:id="40" w:name="_Toc1460"/>
      <w:r>
        <w:rPr>
          <w:rFonts w:hint="eastAsia"/>
        </w:rPr>
        <w:t>七、与现行相关法律、法规规章及相关标准，特别是强制性标准的协</w:t>
      </w:r>
      <w:bookmarkStart w:id="41" w:name="bookmark20"/>
      <w:bookmarkEnd w:id="41"/>
      <w:r>
        <w:rPr>
          <w:rFonts w:hint="eastAsia"/>
        </w:rPr>
        <w:t>调性</w:t>
      </w:r>
      <w:bookmarkEnd w:id="39"/>
      <w:bookmarkEnd w:id="40"/>
    </w:p>
    <w:p w14:paraId="05778E27">
      <w:pPr>
        <w:bidi w:val="0"/>
        <w:rPr>
          <w:rFonts w:hint="eastAsia"/>
        </w:rPr>
      </w:pPr>
      <w:r>
        <w:rPr>
          <w:rFonts w:hint="eastAsia" w:ascii="宋体" w:hAnsi="宋体" w:eastAsia="宋体" w:cs="宋体"/>
          <w:spacing w:val="-4"/>
          <w:szCs w:val="24"/>
        </w:rPr>
        <w:t>随着我国标准化、生态文明建设、农业绿色发展、地理标志保护和食品安全监管制度不断完善，国家及湖北省已形成涵盖团体标准制定、低山丘陵生态保护、农业生产、农产品质量安全、食品加工、标签标识和水源地保护等方面的法律法规与标准体系。《地标生境 郧阳油橄榄北亚热带低山丘陵案例》团体标准在编制过程中，坚持不降低、不替代现行法律法规和强制性标准要求，重点对郧阳北亚热带低山丘陵生境、油橄榄适生栽培、鲜果采收加工和产品地域品质形成条件作补充规定，与现行制度总体协调</w:t>
      </w:r>
      <w:r>
        <w:rPr>
          <w:rFonts w:hint="eastAsia"/>
        </w:rPr>
        <w:t>。</w:t>
      </w:r>
    </w:p>
    <w:p w14:paraId="7BC7141A">
      <w:pPr>
        <w:bidi w:val="0"/>
        <w:rPr>
          <w:rFonts w:hint="eastAsia"/>
        </w:rPr>
      </w:pPr>
      <w:r>
        <w:rPr>
          <w:rFonts w:hint="eastAsia"/>
        </w:rPr>
        <w:t>（一）与国家法律法规的协调性</w:t>
      </w:r>
    </w:p>
    <w:p w14:paraId="359DD710">
      <w:pPr>
        <w:bidi w:val="0"/>
        <w:rPr>
          <w:rFonts w:hint="eastAsia"/>
        </w:rPr>
      </w:pPr>
      <w:r>
        <w:rPr>
          <w:rFonts w:hint="eastAsia"/>
        </w:rPr>
        <w:t>1. 与《中华人民共和国标准化法》的协调性</w:t>
      </w:r>
    </w:p>
    <w:p w14:paraId="06C66248">
      <w:pPr>
        <w:bidi w:val="0"/>
        <w:rPr>
          <w:rFonts w:hint="eastAsia"/>
        </w:rPr>
      </w:pPr>
      <w:r>
        <w:rPr>
          <w:rFonts w:hint="eastAsia"/>
        </w:rPr>
        <w:t>《中华人民共和国标准化法》明确标准包括国家标准、行业标准、地方标准、团体标准和企业标准，强制性标准必须执行，国家鼓励采用推荐性标准；同时要求标准制定以科学技术研究成果和社会实践经验为基础，深入调查论证并广泛征求意见。本标准由依法成立的社会团体组织制定，定位为推荐性团体标准，编制过程包括资料调研、实地调查、检测验证、专家论证和公开征求意见，不设置行政许可、市场准入审批或者超越团体标准权限的管理事项，与标准化法的规定相一致。</w:t>
      </w:r>
    </w:p>
    <w:p w14:paraId="77D40863">
      <w:pPr>
        <w:bidi w:val="0"/>
        <w:rPr>
          <w:rFonts w:hint="eastAsia"/>
        </w:rPr>
      </w:pPr>
      <w:r>
        <w:rPr>
          <w:rFonts w:hint="eastAsia"/>
        </w:rPr>
        <w:t>2. 与《团体标准管理规定》的协调性</w:t>
      </w:r>
    </w:p>
    <w:p w14:paraId="2BE49B5C">
      <w:pPr>
        <w:bidi w:val="0"/>
        <w:rPr>
          <w:rFonts w:hint="eastAsia"/>
        </w:rPr>
      </w:pPr>
      <w:r>
        <w:rPr>
          <w:rFonts w:hint="eastAsia"/>
        </w:rPr>
        <w:t>《团体标准管理规定》要求团体标准满足市场和创新需要，由相关市场主体共同参与制定，并保证技术内容科学、合理、公开和可实施。本标准围绕郧阳油橄榄产业在生境保护、山地栽培、鲜果采后控制和橄榄油品质稳定方面的实际需求，协调科研单位、地方主管部门、检测机构、加工企业和种植主体共同编制，已有国家标准、行业标准规定的内容原则上优先引用，仅对郧阳北亚热带低山丘陵地域特色和现有标准覆盖不足的内容作补充。</w:t>
      </w:r>
    </w:p>
    <w:p w14:paraId="0995C7E1">
      <w:pPr>
        <w:bidi w:val="0"/>
        <w:rPr>
          <w:rFonts w:hint="eastAsia"/>
        </w:rPr>
      </w:pPr>
      <w:r>
        <w:rPr>
          <w:rFonts w:hint="eastAsia"/>
        </w:rPr>
        <w:t>3. 与《地理标志产品保护办法》的协调性</w:t>
      </w:r>
    </w:p>
    <w:p w14:paraId="79E75662">
      <w:pPr>
        <w:bidi w:val="0"/>
        <w:rPr>
          <w:rFonts w:hint="eastAsia"/>
        </w:rPr>
      </w:pPr>
      <w:r>
        <w:rPr>
          <w:rFonts w:hint="eastAsia"/>
        </w:rPr>
        <w:t>《地理标志产品保护办法》强调地理标志产品的质量、声誉或者其他特性应当与特定地域的自然因素和人文因素具有实质性关联，地理标志产品生产者应按照相应标准组织生产。本标准通过划定保护范围，识别北亚热带低山丘陵地貌、气候、土壤、水环境和植被条件，并衔接品种、栽培、采收、加工和产品质量要求，为郧阳油橄榄地域品质形成及生境保护提供技术依据。本标准不替代地理标志产品认定、专用标志使用和行政执法制度，相关事项仍按现行地理标志管理规定执行。</w:t>
      </w:r>
    </w:p>
    <w:p w14:paraId="5A7077C2">
      <w:pPr>
        <w:bidi w:val="0"/>
        <w:rPr>
          <w:rFonts w:hint="eastAsia"/>
        </w:rPr>
      </w:pPr>
      <w:r>
        <w:rPr>
          <w:rFonts w:hint="eastAsia"/>
        </w:rPr>
        <w:t>（二）与现行国家标准和行业标准的协调性</w:t>
      </w:r>
    </w:p>
    <w:p w14:paraId="54D5F276">
      <w:pPr>
        <w:bidi w:val="0"/>
        <w:rPr>
          <w:rFonts w:hint="eastAsia"/>
        </w:rPr>
      </w:pPr>
      <w:r>
        <w:rPr>
          <w:rFonts w:hint="eastAsia"/>
        </w:rPr>
        <w:t>1. 与GB 3095—2026《环境空气质量标准》的协调性</w:t>
      </w:r>
    </w:p>
    <w:p w14:paraId="150A0AFC">
      <w:pPr>
        <w:bidi w:val="0"/>
        <w:rPr>
          <w:rFonts w:hint="eastAsia"/>
        </w:rPr>
      </w:pPr>
      <w:r>
        <w:rPr>
          <w:rFonts w:hint="eastAsia"/>
        </w:rPr>
        <w:t>GB 3095—2026为现行强制性环境空气质量标准。本标准涉及油橄榄产地空气质量时，直接以该标准作为基础要求，并结合果园周边污染源状况提出环境选择要求，不另行降低环境空气质量限值。</w:t>
      </w:r>
    </w:p>
    <w:p w14:paraId="48FBF1BB">
      <w:pPr>
        <w:bidi w:val="0"/>
        <w:rPr>
          <w:rFonts w:hint="eastAsia"/>
        </w:rPr>
      </w:pPr>
      <w:r>
        <w:rPr>
          <w:rFonts w:hint="eastAsia"/>
        </w:rPr>
        <w:t>2. 与GB 5084—2021《农田灌溉水质标准》的协调性</w:t>
      </w:r>
    </w:p>
    <w:p w14:paraId="6554F78C">
      <w:pPr>
        <w:bidi w:val="0"/>
        <w:rPr>
          <w:rFonts w:hint="eastAsia"/>
        </w:rPr>
      </w:pPr>
      <w:r>
        <w:rPr>
          <w:rFonts w:hint="eastAsia"/>
        </w:rPr>
        <w:t>GB 5084—2021为现行强制性农田灌溉水质标准。本标准规定果园灌溉水应符合该标准，并结合汉江流域和丹江口库区生态区位增加水源保护、节水灌溉和面源污染控制要求，属于在强制性底线基础上的区域性补充。</w:t>
      </w:r>
    </w:p>
    <w:p w14:paraId="643FBA7B">
      <w:pPr>
        <w:bidi w:val="0"/>
        <w:rPr>
          <w:rFonts w:hint="eastAsia"/>
        </w:rPr>
      </w:pPr>
      <w:r>
        <w:rPr>
          <w:rFonts w:hint="eastAsia"/>
        </w:rPr>
        <w:t>3. 与GB 15618—2018《土壤环境质量 农用地土壤污染风险管控标准（试行）》的协调性</w:t>
      </w:r>
    </w:p>
    <w:p w14:paraId="12D0E228">
      <w:pPr>
        <w:bidi w:val="0"/>
        <w:rPr>
          <w:rFonts w:hint="eastAsia"/>
        </w:rPr>
      </w:pPr>
      <w:r>
        <w:rPr>
          <w:rFonts w:hint="eastAsia"/>
        </w:rPr>
        <w:t>GB 15618—2018为现行强制性农用地土壤污染风险管控标准。本标准涉及果园土壤环境安全时，以其风险筛选值和管制要求为底线；土壤类型、土层厚度、pH、有机质、养分和排水透气性等内容，用于表征油橄榄适生生境，不替代土壤污染风险管控。</w:t>
      </w:r>
    </w:p>
    <w:p w14:paraId="33F91862">
      <w:pPr>
        <w:bidi w:val="0"/>
        <w:rPr>
          <w:rFonts w:hint="eastAsia"/>
        </w:rPr>
      </w:pPr>
      <w:r>
        <w:rPr>
          <w:rFonts w:hint="eastAsia"/>
        </w:rPr>
        <w:t>4. 与食品污染物和农药残留强制性标准的协调性</w:t>
      </w:r>
    </w:p>
    <w:p w14:paraId="23317316">
      <w:pPr>
        <w:bidi w:val="0"/>
        <w:rPr>
          <w:rFonts w:hint="eastAsia"/>
        </w:rPr>
      </w:pPr>
      <w:r>
        <w:rPr>
          <w:rFonts w:hint="eastAsia"/>
        </w:rPr>
        <w:t>橄榄油中的污染物限量应符合GB 2762—2022及其现行修改单，油橄榄鲜果和相关产品中的农药残留应符合GB 2763—2026。本标准不重复设置低于食品安全国家标准的限量，也不以绿色生产、地域产品或者地标生境评价替代法定食品安全检验。</w:t>
      </w:r>
    </w:p>
    <w:p w14:paraId="289451B7">
      <w:pPr>
        <w:bidi w:val="0"/>
        <w:rPr>
          <w:rFonts w:hint="eastAsia"/>
        </w:rPr>
      </w:pPr>
      <w:r>
        <w:rPr>
          <w:rFonts w:hint="eastAsia"/>
        </w:rPr>
        <w:t>5. 与预包装食品标签和营养标签强制性标准的协调性</w:t>
      </w:r>
    </w:p>
    <w:p w14:paraId="6CC5EA3D">
      <w:pPr>
        <w:bidi w:val="0"/>
        <w:rPr>
          <w:rFonts w:hint="eastAsia"/>
        </w:rPr>
      </w:pPr>
      <w:r>
        <w:rPr>
          <w:rFonts w:hint="eastAsia"/>
        </w:rPr>
        <w:t>橄榄油预包装产品的标签和营养标签应执行食品安全国家标准。鉴于GB 7718—2025和GB 28050—2025已发布并将于2027年3月16日实施，本标准在征求意见、送审和发布过程中应做好版本衔接：在新标准实施前按现行要求执行，实施后及时采用新版本。本标准可规定郧阳油橄榄的产品名称、产地和批次等地域信息，但不得减少食品安全国家标准规定的强制标示内容。</w:t>
      </w:r>
    </w:p>
    <w:p w14:paraId="5BA68F6B">
      <w:pPr>
        <w:bidi w:val="0"/>
        <w:rPr>
          <w:rFonts w:hint="eastAsia"/>
        </w:rPr>
      </w:pPr>
      <w:r>
        <w:rPr>
          <w:rFonts w:hint="eastAsia"/>
        </w:rPr>
        <w:t>（三）与油橄榄及橄榄油相关推荐性标准的协调性</w:t>
      </w:r>
    </w:p>
    <w:p w14:paraId="53DEAB21">
      <w:pPr>
        <w:bidi w:val="0"/>
        <w:rPr>
          <w:rFonts w:hint="eastAsia"/>
        </w:rPr>
      </w:pPr>
      <w:r>
        <w:rPr>
          <w:rFonts w:hint="eastAsia"/>
        </w:rPr>
        <w:t>1. 与LY/T 1532—2021《油橄榄》的协调性</w:t>
      </w:r>
    </w:p>
    <w:p w14:paraId="28612A17">
      <w:pPr>
        <w:bidi w:val="0"/>
        <w:rPr>
          <w:rFonts w:hint="eastAsia"/>
        </w:rPr>
      </w:pPr>
      <w:r>
        <w:rPr>
          <w:rFonts w:hint="eastAsia"/>
        </w:rPr>
        <w:t>LY/T 1532—2021规定油橄榄鲜果的相关质量要求。本标准在鲜果术语、感官质量和检验要求方面与该行业标准衔接，重点补充郧阳北亚热带低山丘陵保护范围、生境条件、适生品种、成熟度、采后初选和加工时效等地域性内容。</w:t>
      </w:r>
    </w:p>
    <w:p w14:paraId="220DF2DD">
      <w:pPr>
        <w:bidi w:val="0"/>
        <w:rPr>
          <w:rFonts w:hint="eastAsia"/>
        </w:rPr>
      </w:pPr>
      <w:r>
        <w:rPr>
          <w:rFonts w:hint="eastAsia"/>
        </w:rPr>
        <w:t>2. 与GB/T 23347—2021《橄榄油、油橄榄果渣油》的协调性</w:t>
      </w:r>
    </w:p>
    <w:p w14:paraId="51317F90">
      <w:pPr>
        <w:bidi w:val="0"/>
        <w:rPr>
          <w:rFonts w:hint="eastAsia"/>
        </w:rPr>
      </w:pPr>
      <w:r>
        <w:rPr>
          <w:rFonts w:hint="eastAsia"/>
        </w:rPr>
        <w:t>GB/T 23347—2021是现行橄榄油和油橄榄果渣油产品标准，本标准中产品分类、基本质量和检验要求应与其保持一致，不得自行混用初榨、精炼和果渣油等产品类别。国家标准化主管部门已于2026年分别下达《橄榄油》和《油橄榄果渣油》修订计划，正式送审和发布前应核查最新标准进展，及时调整规范性引用文件和相关技术条款。</w:t>
      </w:r>
    </w:p>
    <w:p w14:paraId="1E8CF045">
      <w:pPr>
        <w:bidi w:val="0"/>
        <w:rPr>
          <w:rFonts w:hint="eastAsia"/>
        </w:rPr>
      </w:pPr>
      <w:r>
        <w:rPr>
          <w:rFonts w:hint="eastAsia"/>
        </w:rPr>
        <w:t>3. 与GB/T 39991—2021《感官分析 橄榄油品评杯使用要求》的协调性</w:t>
      </w:r>
    </w:p>
    <w:p w14:paraId="0F576BC2">
      <w:pPr>
        <w:bidi w:val="0"/>
        <w:rPr>
          <w:rFonts w:hint="eastAsia"/>
        </w:rPr>
      </w:pPr>
      <w:r>
        <w:rPr>
          <w:rFonts w:hint="eastAsia"/>
        </w:rPr>
        <w:t>本标准如设置橄榄油感官评价，应采用规范的评价环境、器具和程序。GB/T 39991—2021可作为品评器具使用的技术依据，感官评价人员、样品制备、评价方法和结果判定还应引用相应现行方法标准或在标准附录中明确。</w:t>
      </w:r>
    </w:p>
    <w:p w14:paraId="682E9340">
      <w:pPr>
        <w:bidi w:val="0"/>
        <w:rPr>
          <w:rFonts w:hint="eastAsia"/>
        </w:rPr>
      </w:pPr>
      <w:r>
        <w:rPr>
          <w:rFonts w:hint="eastAsia"/>
        </w:rPr>
        <w:t>4. 对已废止油橄榄行业标准的处理</w:t>
      </w:r>
    </w:p>
    <w:p w14:paraId="31C6FCBC">
      <w:pPr>
        <w:bidi w:val="0"/>
        <w:rPr>
          <w:rFonts w:hint="eastAsia" w:eastAsia="宋体"/>
          <w:lang w:eastAsia="zh-CN"/>
        </w:rPr>
      </w:pPr>
      <w:r>
        <w:rPr>
          <w:rFonts w:hint="eastAsia"/>
        </w:rPr>
        <w:t>经标准状态核查，LY/T 2036—2012《油橄榄栽培技术规程》和LY/T 1937—2011《油橄榄苗木质量等级》已废止，不宜继续作为本标准的现行规范性引用文件。其中仍具有参考价值的技术内容，可结合郧阳实地调查、地方现行标准和试验验证重新论证后转化为本标准条款，但不得以已废止标准作为直接合格判定依据</w:t>
      </w:r>
      <w:r>
        <w:rPr>
          <w:rFonts w:hint="eastAsia"/>
          <w:lang w:eastAsia="zh-CN"/>
        </w:rPr>
        <w:t>。</w:t>
      </w:r>
    </w:p>
    <w:p w14:paraId="48D29243">
      <w:pPr>
        <w:bidi w:val="0"/>
        <w:rPr>
          <w:rFonts w:hint="eastAsia"/>
        </w:rPr>
      </w:pPr>
      <w:r>
        <w:rPr>
          <w:rFonts w:hint="eastAsia"/>
        </w:rPr>
        <w:t>（四）与“地标生境”系列标准的协调性</w:t>
      </w:r>
    </w:p>
    <w:p w14:paraId="1B3047DA">
      <w:pPr>
        <w:bidi w:val="0"/>
        <w:rPr>
          <w:rFonts w:hint="eastAsia" w:eastAsia="宋体"/>
          <w:lang w:eastAsia="zh-CN"/>
        </w:rPr>
      </w:pPr>
      <w:r>
        <w:rPr>
          <w:rFonts w:hint="eastAsia"/>
        </w:rPr>
        <w:t>本标准与中国地理学会“地标生境”系列标准在总体理念、术语表达和基本结构上保持协调，均以优质地理产品生态环境保护与可持续发展为核心。同时，本标准根据油橄榄多年生木本油料作物和郧阳北亚热带低山丘陵生境特点，突出坡地建园、水土保持、越冬与花期气候风险、鲜果成熟度、采后加工时效、橄榄油品质及加工副产物处置，避免照搬水稻、食用菌等产品的指标和生产技术</w:t>
      </w:r>
      <w:r>
        <w:rPr>
          <w:rFonts w:hint="eastAsia"/>
          <w:lang w:eastAsia="zh-CN"/>
        </w:rPr>
        <w:t>。</w:t>
      </w:r>
    </w:p>
    <w:p w14:paraId="1DF94B32">
      <w:pPr>
        <w:bidi w:val="0"/>
        <w:rPr>
          <w:rFonts w:hint="eastAsia"/>
        </w:rPr>
      </w:pPr>
      <w:r>
        <w:rPr>
          <w:rFonts w:hint="eastAsia"/>
        </w:rPr>
        <w:t>（五）总体协调性评价</w:t>
      </w:r>
    </w:p>
    <w:p w14:paraId="68D5C773">
      <w:pPr>
        <w:bidi w:val="0"/>
        <w:rPr>
          <w:rFonts w:hint="eastAsia" w:eastAsia="宋体"/>
          <w:lang w:eastAsia="zh-CN"/>
        </w:rPr>
      </w:pPr>
      <w:r>
        <w:rPr>
          <w:rFonts w:hint="eastAsia"/>
        </w:rPr>
        <w:t>综上，《地标生境 郧阳油橄榄北亚热带低山丘陵案例》团体标准与现行标准化、农业林业、生态环境、水土保持、汉江流域水环境保护、农产品质量安全、食品安全和地理标志保护等法律法规不存在原则性冲突，与现行强制性环境质量和食品安全国家标准保持一致。本标准在不降低法定底线要求的前提下，对郧阳油橄榄北亚热带低山丘陵生境识别、适生栽培、鲜果采收加工和地域产品质量提出补充性技术要求，能够弥补现有通用标准对地域生境及品质形成过程规定不足的问题，具有良好的协调性和可实施性</w:t>
      </w:r>
      <w:r>
        <w:rPr>
          <w:rFonts w:hint="eastAsia"/>
          <w:lang w:eastAsia="zh-CN"/>
        </w:rPr>
        <w:t>。</w:t>
      </w:r>
    </w:p>
    <w:p w14:paraId="7E472B4E">
      <w:pPr>
        <w:pStyle w:val="3"/>
        <w:bidi w:val="0"/>
        <w:rPr>
          <w:rFonts w:hint="eastAsia"/>
        </w:rPr>
      </w:pPr>
      <w:bookmarkStart w:id="42" w:name="_Toc6751"/>
      <w:bookmarkStart w:id="43" w:name="_Toc74"/>
      <w:r>
        <w:rPr>
          <w:rFonts w:hint="eastAsia"/>
        </w:rPr>
        <w:t>八 、重大意见分歧的处理结果和依据</w:t>
      </w:r>
      <w:bookmarkEnd w:id="42"/>
      <w:bookmarkEnd w:id="43"/>
    </w:p>
    <w:p w14:paraId="40C1525E">
      <w:pPr>
        <w:bidi w:val="0"/>
        <w:rPr>
          <w:rFonts w:hint="eastAsia"/>
        </w:rPr>
      </w:pPr>
      <w:r>
        <w:rPr>
          <w:rFonts w:hint="eastAsia"/>
        </w:rPr>
        <w:t>无。</w:t>
      </w:r>
    </w:p>
    <w:p w14:paraId="7446C3EA">
      <w:pPr>
        <w:pStyle w:val="3"/>
        <w:bidi w:val="0"/>
        <w:rPr>
          <w:rFonts w:hint="eastAsia" w:ascii="宋体" w:hAnsi="宋体" w:eastAsia="宋体" w:cs="宋体"/>
          <w:szCs w:val="28"/>
        </w:rPr>
      </w:pPr>
      <w:bookmarkStart w:id="44" w:name="_Toc7154"/>
      <w:bookmarkStart w:id="45" w:name="_Toc28515"/>
      <w:r>
        <w:rPr>
          <w:rFonts w:hint="eastAsia"/>
        </w:rPr>
        <w:t>九 、作为推荐性国家标准的建议</w:t>
      </w:r>
      <w:bookmarkEnd w:id="44"/>
      <w:bookmarkEnd w:id="45"/>
    </w:p>
    <w:p w14:paraId="36E904B8">
      <w:pPr>
        <w:bidi w:val="0"/>
        <w:rPr>
          <w:rFonts w:hint="eastAsia"/>
        </w:rPr>
      </w:pPr>
      <w:r>
        <w:rPr>
          <w:rFonts w:hint="eastAsia"/>
        </w:rPr>
        <w:t>本标准作为推荐性标准实施。</w:t>
      </w:r>
    </w:p>
    <w:p w14:paraId="7201C377">
      <w:pPr>
        <w:pStyle w:val="3"/>
        <w:bidi w:val="0"/>
        <w:rPr>
          <w:rFonts w:hint="eastAsia" w:ascii="宋体" w:hAnsi="宋体" w:eastAsia="宋体" w:cs="宋体"/>
          <w:szCs w:val="28"/>
        </w:rPr>
      </w:pPr>
      <w:bookmarkStart w:id="46" w:name="_Toc10792"/>
      <w:bookmarkStart w:id="47" w:name="_Toc6650"/>
      <w:r>
        <w:rPr>
          <w:rFonts w:hint="eastAsia"/>
        </w:rPr>
        <w:t>十 、贯彻标准的要求和措施建议</w:t>
      </w:r>
      <w:bookmarkEnd w:id="46"/>
      <w:bookmarkEnd w:id="47"/>
    </w:p>
    <w:p w14:paraId="5619E7ED">
      <w:pPr>
        <w:bidi w:val="0"/>
        <w:rPr>
          <w:rFonts w:hint="eastAsia"/>
        </w:rPr>
      </w:pPr>
      <w:r>
        <w:rPr>
          <w:rFonts w:hint="eastAsia"/>
        </w:rPr>
        <w:t>为保障《地标生境 郧阳油橄榄北亚热带低山丘陵案例》团体标准得到规范、持续和有效实施，建议在中国地理学会指导下，由标准起草单位、郧阳区相关主管部门、技术推广机构、检测机构、加工企业、合作社和种植主体共同参与，建立职责明确、技术协同、监测连续、反馈及时的标准实施机制。标准贯彻应以保护北亚热带低山丘陵油橄榄生境为基础，以规范油橄榄栽培、鲜果采收、加工生产和产品质量控制为重点，兼顾丹江口库区及汉江流域生态环境保护要求，推动标准要求落实到生产、加工、检验、流通和监督管理全过程。</w:t>
      </w:r>
    </w:p>
    <w:p w14:paraId="07B8434C">
      <w:pPr>
        <w:pStyle w:val="3"/>
        <w:bidi w:val="0"/>
        <w:rPr>
          <w:rFonts w:hint="eastAsia"/>
        </w:rPr>
      </w:pPr>
      <w:bookmarkStart w:id="48" w:name="_Toc12392"/>
      <w:bookmarkStart w:id="49" w:name="_Toc13635"/>
      <w:r>
        <w:rPr>
          <w:rFonts w:hint="eastAsia"/>
        </w:rPr>
        <w:t>十一 、废止现行相关标准的建议</w:t>
      </w:r>
      <w:bookmarkEnd w:id="48"/>
      <w:bookmarkEnd w:id="49"/>
    </w:p>
    <w:p w14:paraId="2C309EBA">
      <w:pPr>
        <w:bidi w:val="0"/>
        <w:rPr>
          <w:rFonts w:hint="eastAsia"/>
        </w:rPr>
      </w:pPr>
      <w:r>
        <w:rPr>
          <w:rFonts w:hint="eastAsia"/>
        </w:rPr>
        <w:t>无。</w:t>
      </w:r>
    </w:p>
    <w:p w14:paraId="757B16A9">
      <w:pPr>
        <w:pStyle w:val="3"/>
        <w:bidi w:val="0"/>
        <w:rPr>
          <w:rFonts w:hint="eastAsia" w:ascii="宋体" w:hAnsi="宋体" w:eastAsia="宋体" w:cs="宋体"/>
          <w:szCs w:val="28"/>
        </w:rPr>
      </w:pPr>
      <w:bookmarkStart w:id="50" w:name="_Toc3564"/>
      <w:bookmarkStart w:id="51" w:name="_Toc18991"/>
      <w:r>
        <w:rPr>
          <w:rFonts w:hint="eastAsia"/>
        </w:rPr>
        <w:t>十二 、其他应予说明的事项</w:t>
      </w:r>
      <w:bookmarkEnd w:id="50"/>
      <w:bookmarkEnd w:id="51"/>
    </w:p>
    <w:p w14:paraId="0F54EFC1">
      <w:pPr>
        <w:bidi w:val="0"/>
        <w:rPr>
          <w:rFonts w:hint="eastAsia"/>
        </w:rPr>
      </w:pPr>
      <w:r>
        <w:rPr>
          <w:rFonts w:hint="eastAsia"/>
        </w:rPr>
        <w:t>无。</w:t>
      </w:r>
    </w:p>
    <w:p w14:paraId="7F615568">
      <w:pPr>
        <w:pStyle w:val="3"/>
        <w:bidi w:val="0"/>
        <w:rPr>
          <w:rFonts w:hint="eastAsia"/>
        </w:rPr>
      </w:pPr>
      <w:bookmarkStart w:id="52" w:name="_Toc23494"/>
      <w:bookmarkStart w:id="53" w:name="_Toc28483"/>
      <w:r>
        <w:rPr>
          <w:rFonts w:hint="eastAsia"/>
        </w:rPr>
        <w:t>十三 、主要参考文献</w:t>
      </w:r>
      <w:bookmarkEnd w:id="52"/>
      <w:bookmarkEnd w:id="53"/>
    </w:p>
    <w:p w14:paraId="3D7F5F3A">
      <w:pPr>
        <w:bidi w:val="0"/>
        <w:rPr>
          <w:rFonts w:hint="default"/>
        </w:rPr>
      </w:pPr>
      <w:r>
        <w:rPr>
          <w:rFonts w:hint="default"/>
        </w:rPr>
        <w:t>[1]胡实,肖帮伟,雷绵云,等.郧阳油橄榄北亚热带低山丘陵生境保护与可持续发展案例研究[J].全球变化数据学报(中英文),2025,9(3):336-351+462-477.</w:t>
      </w:r>
    </w:p>
    <w:p w14:paraId="4C6B03D5">
      <w:pPr>
        <w:bidi w:val="0"/>
        <w:rPr>
          <w:rFonts w:hint="default"/>
        </w:rPr>
      </w:pPr>
      <w:r>
        <w:rPr>
          <w:rFonts w:hint="default"/>
        </w:rPr>
        <w:t>.</w:t>
      </w:r>
    </w:p>
    <w:p w14:paraId="08D15BBC">
      <w:pPr>
        <w:pStyle w:val="6"/>
        <w:spacing w:line="319" w:lineRule="auto"/>
        <w:rPr>
          <w:rFonts w:hint="eastAsia" w:ascii="宋体" w:hAnsi="宋体" w:eastAsia="宋体" w:cs="宋体"/>
        </w:rPr>
      </w:pPr>
    </w:p>
    <w:p w14:paraId="41471AA3">
      <w:pPr>
        <w:spacing w:before="103" w:line="211" w:lineRule="auto"/>
        <w:ind w:right="13"/>
        <w:jc w:val="right"/>
        <w:rPr>
          <w:rFonts w:hint="eastAsia" w:ascii="宋体" w:hAnsi="宋体" w:eastAsia="宋体" w:cs="宋体"/>
          <w:sz w:val="24"/>
          <w:szCs w:val="24"/>
        </w:rPr>
      </w:pPr>
      <w:r>
        <w:rPr>
          <w:rFonts w:hint="eastAsia" w:ascii="宋体" w:hAnsi="宋体" w:eastAsia="宋体" w:cs="宋体"/>
          <w:spacing w:val="-1"/>
          <w:sz w:val="24"/>
          <w:szCs w:val="24"/>
        </w:rPr>
        <w:t xml:space="preserve">《地标生境 </w:t>
      </w:r>
      <w:r>
        <w:rPr>
          <w:rFonts w:hint="eastAsia" w:ascii="宋体" w:hAnsi="宋体" w:eastAsia="宋体" w:cs="宋体"/>
          <w:spacing w:val="-1"/>
          <w:sz w:val="24"/>
          <w:szCs w:val="24"/>
          <w:lang w:val="en-US" w:eastAsia="zh-CN"/>
        </w:rPr>
        <w:t>郧阳油橄榄北亚热带低山丘陵</w:t>
      </w:r>
      <w:r>
        <w:rPr>
          <w:rFonts w:hint="eastAsia" w:ascii="宋体" w:hAnsi="宋体" w:eastAsia="宋体" w:cs="宋体"/>
          <w:spacing w:val="-1"/>
          <w:sz w:val="24"/>
          <w:szCs w:val="24"/>
        </w:rPr>
        <w:t>案例》起草组</w:t>
      </w:r>
    </w:p>
    <w:p w14:paraId="04A64359">
      <w:pPr>
        <w:spacing w:before="109" w:line="178" w:lineRule="auto"/>
        <w:ind w:right="13"/>
        <w:jc w:val="right"/>
        <w:rPr>
          <w:rFonts w:hint="eastAsia" w:ascii="宋体" w:hAnsi="宋体" w:eastAsia="宋体" w:cs="宋体"/>
          <w:sz w:val="24"/>
          <w:szCs w:val="24"/>
        </w:rPr>
      </w:pPr>
      <w:r>
        <w:rPr>
          <w:rFonts w:hint="eastAsia" w:ascii="宋体" w:hAnsi="宋体" w:eastAsia="宋体" w:cs="宋体"/>
          <w:spacing w:val="-2"/>
          <w:sz w:val="24"/>
          <w:szCs w:val="24"/>
        </w:rPr>
        <w:t>二零二六年</w:t>
      </w:r>
      <w:r>
        <w:rPr>
          <w:rFonts w:hint="eastAsia" w:ascii="宋体" w:hAnsi="宋体" w:cs="宋体"/>
          <w:spacing w:val="-2"/>
          <w:sz w:val="24"/>
          <w:szCs w:val="24"/>
          <w:lang w:val="en-US" w:eastAsia="zh-CN"/>
        </w:rPr>
        <w:t>七</w:t>
      </w:r>
      <w:r>
        <w:rPr>
          <w:rFonts w:hint="eastAsia" w:ascii="宋体" w:hAnsi="宋体" w:eastAsia="宋体" w:cs="宋体"/>
          <w:spacing w:val="-2"/>
          <w:sz w:val="24"/>
          <w:szCs w:val="24"/>
        </w:rPr>
        <w:t>月</w:t>
      </w:r>
    </w:p>
    <w:sectPr>
      <w:headerReference r:id="rId5" w:type="default"/>
      <w:footerReference r:id="rId6" w:type="default"/>
      <w:pgSz w:w="11906" w:h="16838"/>
      <w:pgMar w:top="400" w:right="1785" w:bottom="1420" w:left="1785" w:header="0" w:footer="1184"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25C89E">
    <w:pPr>
      <w:spacing w:line="226" w:lineRule="exact"/>
      <w:ind w:right="13"/>
      <w:jc w:val="right"/>
      <w:rPr>
        <w:rFonts w:ascii="Times New Roman" w:hAnsi="Times New Roman" w:eastAsia="Times New Roman" w:cs="Times New Roman"/>
        <w:sz w:val="18"/>
        <w:szCs w:val="18"/>
      </w:rPr>
    </w:pPr>
    <w:r>
      <w:rPr>
        <w:rFonts w:ascii="Times New Roman" w:hAnsi="Times New Roman" w:eastAsia="Times New Roman" w:cs="Times New Roman"/>
        <w:spacing w:val="-11"/>
        <w:position w:val="1"/>
        <w:sz w:val="18"/>
        <w:szCs w:val="18"/>
      </w:rPr>
      <w:t>19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C63CDC">
    <w:pPr>
      <w:pStyle w:val="6"/>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5A86320"/>
    <w:rsid w:val="07E55609"/>
    <w:rsid w:val="16481D0C"/>
    <w:rsid w:val="16AC73FD"/>
    <w:rsid w:val="1AB12AF7"/>
    <w:rsid w:val="1E5D0671"/>
    <w:rsid w:val="27EB7149"/>
    <w:rsid w:val="291D29FD"/>
    <w:rsid w:val="29A749BD"/>
    <w:rsid w:val="3D402D06"/>
    <w:rsid w:val="44827275"/>
    <w:rsid w:val="48CB5B7A"/>
    <w:rsid w:val="4D896004"/>
    <w:rsid w:val="5EFA4FE0"/>
    <w:rsid w:val="632E6FDA"/>
    <w:rsid w:val="6EFF182A"/>
    <w:rsid w:val="7A4B2727"/>
    <w:rsid w:val="7EFA486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spacing w:line="360" w:lineRule="auto"/>
      <w:ind w:firstLine="420" w:firstLineChars="200"/>
      <w:jc w:val="both"/>
      <w:textAlignment w:val="baseline"/>
    </w:pPr>
    <w:rPr>
      <w:rFonts w:ascii="Times New Roman" w:hAnsi="Times New Roman" w:eastAsia="宋体" w:cs="Arial"/>
      <w:snapToGrid w:val="0"/>
      <w:color w:val="000000"/>
      <w:kern w:val="0"/>
      <w:sz w:val="24"/>
      <w:szCs w:val="21"/>
      <w:lang w:val="en-US" w:eastAsia="en-US" w:bidi="ar-SA"/>
    </w:rPr>
  </w:style>
  <w:style w:type="paragraph" w:styleId="3">
    <w:name w:val="heading 2"/>
    <w:basedOn w:val="1"/>
    <w:next w:val="1"/>
    <w:link w:val="16"/>
    <w:unhideWhenUsed/>
    <w:qFormat/>
    <w:uiPriority w:val="0"/>
    <w:pPr>
      <w:keepNext/>
      <w:keepLines/>
      <w:spacing w:before="120" w:beforeLines="0" w:beforeAutospacing="0" w:after="140" w:afterLines="0" w:afterAutospacing="0" w:line="360" w:lineRule="auto"/>
      <w:ind w:firstLine="0" w:firstLineChars="0"/>
      <w:outlineLvl w:val="1"/>
    </w:pPr>
    <w:rPr>
      <w:rFonts w:ascii="Arial" w:hAnsi="Arial"/>
      <w:b/>
      <w:sz w:val="28"/>
    </w:rPr>
  </w:style>
  <w:style w:type="paragraph" w:styleId="4">
    <w:name w:val="heading 3"/>
    <w:basedOn w:val="1"/>
    <w:next w:val="1"/>
    <w:unhideWhenUsed/>
    <w:qFormat/>
    <w:uiPriority w:val="0"/>
    <w:pPr>
      <w:keepNext/>
      <w:keepLines/>
      <w:spacing w:before="120" w:beforeLines="0" w:beforeAutospacing="0" w:after="140" w:afterLines="0" w:afterAutospacing="0" w:line="360" w:lineRule="auto"/>
      <w:ind w:firstLine="0" w:firstLineChars="0"/>
      <w:outlineLvl w:val="2"/>
    </w:pPr>
    <w:rPr>
      <w:rFonts w:ascii="Arial" w:hAnsi="Arial"/>
      <w:b/>
      <w:sz w:val="24"/>
    </w:rPr>
  </w:style>
  <w:style w:type="paragraph" w:styleId="5">
    <w:name w:val="heading 4"/>
    <w:basedOn w:val="1"/>
    <w:next w:val="1"/>
    <w:unhideWhenUsed/>
    <w:qFormat/>
    <w:uiPriority w:val="0"/>
    <w:pPr>
      <w:keepNext/>
      <w:keepLines/>
      <w:spacing w:before="120" w:beforeLines="0" w:beforeAutospacing="0" w:after="120" w:afterLines="0" w:afterAutospacing="0" w:line="360" w:lineRule="auto"/>
      <w:outlineLvl w:val="3"/>
    </w:pPr>
    <w:rPr>
      <w:rFonts w:ascii="Times New Roman" w:hAnsi="Times New Roman"/>
      <w:b/>
    </w:r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2">
    <w:name w:val="Normal Indent"/>
    <w:basedOn w:val="1"/>
    <w:unhideWhenUsed/>
    <w:qFormat/>
    <w:uiPriority w:val="0"/>
    <w:pPr>
      <w:ind w:firstLine="420" w:firstLineChars="200"/>
    </w:pPr>
  </w:style>
  <w:style w:type="paragraph" w:styleId="6">
    <w:name w:val="Body Text"/>
    <w:basedOn w:val="1"/>
    <w:semiHidden/>
    <w:qFormat/>
    <w:uiPriority w:val="0"/>
    <w:rPr>
      <w:rFonts w:ascii="Arial" w:hAnsi="Arial" w:eastAsia="Arial" w:cs="Arial"/>
      <w:sz w:val="21"/>
      <w:szCs w:val="21"/>
      <w:lang w:val="en-US" w:eastAsia="en-US" w:bidi="ar-SA"/>
    </w:rPr>
  </w:style>
  <w:style w:type="paragraph" w:styleId="7">
    <w:name w:val="toc 3"/>
    <w:basedOn w:val="1"/>
    <w:next w:val="1"/>
    <w:uiPriority w:val="0"/>
    <w:pPr>
      <w:ind w:left="840" w:leftChars="400"/>
    </w:p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toc 4"/>
    <w:basedOn w:val="1"/>
    <w:next w:val="1"/>
    <w:uiPriority w:val="0"/>
    <w:pPr>
      <w:ind w:left="1260" w:leftChars="600"/>
    </w:pPr>
  </w:style>
  <w:style w:type="paragraph" w:styleId="11">
    <w:name w:val="toc 2"/>
    <w:basedOn w:val="1"/>
    <w:next w:val="1"/>
    <w:uiPriority w:val="0"/>
    <w:pPr>
      <w:ind w:left="420" w:leftChars="200"/>
    </w:pPr>
  </w:style>
  <w:style w:type="table" w:customStyle="1" w:styleId="14">
    <w:name w:val="Table Normal"/>
    <w:semiHidden/>
    <w:unhideWhenUsed/>
    <w:qFormat/>
    <w:uiPriority w:val="0"/>
    <w:tblPr>
      <w:tblCellMar>
        <w:top w:w="0" w:type="dxa"/>
        <w:left w:w="0" w:type="dxa"/>
        <w:bottom w:w="0" w:type="dxa"/>
        <w:right w:w="0" w:type="dxa"/>
      </w:tblCellMar>
    </w:tblPr>
  </w:style>
  <w:style w:type="paragraph" w:customStyle="1" w:styleId="15">
    <w:name w:val="Table Text"/>
    <w:basedOn w:val="1"/>
    <w:semiHidden/>
    <w:qFormat/>
    <w:uiPriority w:val="0"/>
    <w:rPr>
      <w:rFonts w:ascii="微软雅黑" w:hAnsi="微软雅黑" w:eastAsia="微软雅黑" w:cs="微软雅黑"/>
      <w:sz w:val="24"/>
      <w:szCs w:val="24"/>
      <w:lang w:val="en-US" w:eastAsia="en-US" w:bidi="ar-SA"/>
    </w:rPr>
  </w:style>
  <w:style w:type="character" w:customStyle="1" w:styleId="16">
    <w:name w:val="标题 2 Char"/>
    <w:link w:val="3"/>
    <w:qFormat/>
    <w:uiPriority w:val="0"/>
    <w:rPr>
      <w:rFonts w:ascii="Arial" w:hAnsi="Arial"/>
      <w:b/>
      <w:sz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20</Pages>
  <Words>13958</Words>
  <Characters>15192</Characters>
  <TotalTime>2</TotalTime>
  <ScaleCrop>false</ScaleCrop>
  <LinksUpToDate>false</LinksUpToDate>
  <CharactersWithSpaces>15660</CharactersWithSpaces>
  <Application>WPS Office_12.1.0.26884_F1E327BC-269C-435d-A152-05C5408002CA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2026-04-20T15:59:00Z</dcterms:created>
  <dc:creator>liuxy</dc:creator>
  <cp:lastModifiedBy>wangm</cp:lastModifiedBy>
  <dcterms:modified xsi:type="dcterms:W3CDTF">2026-07-30T15:14:05Z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2026-07-20T22:04:18Z</vt:filetime>
  </property>
  <property fmtid="{D5CDD505-2E9C-101B-9397-08002B2CF9AE}" pid="4" name="KSOTemplateDocerSaveRecord">
    <vt:lpwstr>eyJoZGlkIjoiYmRkYjVkNDdlYTJlODBkMTIzYmQ1ZjdjMjNjZTRhMGQiLCJ1c2VySWQiOiI1MzY1NTcwNDMifQ==</vt:lpwstr>
  </property>
  <property fmtid="{D5CDD505-2E9C-101B-9397-08002B2CF9AE}" pid="5" name="KSOProductBuildVer">
    <vt:lpwstr>2052-12.1.0.26884</vt:lpwstr>
  </property>
  <property fmtid="{D5CDD505-2E9C-101B-9397-08002B2CF9AE}" pid="6" name="ICV">
    <vt:lpwstr>CDDD325B4D20457E9041192DD2C343D3_13</vt:lpwstr>
  </property>
</Properties>
</file>